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661" w:rsidRDefault="00FC3661" w:rsidP="00FC3661">
      <w:pPr>
        <w:ind w:left="1440" w:hanging="360"/>
        <w:jc w:val="center"/>
        <w:rPr>
          <w:b/>
        </w:rPr>
      </w:pPr>
      <w:r w:rsidRPr="00FC3661">
        <w:rPr>
          <w:b/>
        </w:rPr>
        <w:t>TEKNİK ŞARTNAME</w:t>
      </w:r>
    </w:p>
    <w:p w:rsidR="00FC3661" w:rsidRPr="00FC3661" w:rsidRDefault="00FC3661" w:rsidP="00FC3661">
      <w:pPr>
        <w:ind w:left="1440" w:hanging="360"/>
        <w:jc w:val="center"/>
        <w:rPr>
          <w:b/>
        </w:rPr>
      </w:pP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Ürünler, belirtilen teknik özelliklere ve ilgili standartlara uygun olmalıdır.</w:t>
      </w: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Ürünlerin steril, orijinal ambalajında ve hasarsız olarak teslim edilmesi gerekmektedir.</w:t>
      </w: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Ürünler, CE, ISO 13485, ISO 9001 veya ilgili kalite sertifikalarına sahip olmalıdır.</w:t>
      </w: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Garanti süresi içinde üretim kaynaklı herhangi bir hata veya kusur tespit edilmesi durumunda, ürün ücretsiz olarak değiştirilmelidir.</w:t>
      </w: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Ürünler, kullanım ömrü boyunca kaliteyi koruyacak şekilde üretilmiş ve ambalajlanmış olmalıdır.</w:t>
      </w: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Ürünler, sipariş tarihinden itibaren en geç [10 gün] içerisinde teslim edilmelidir.</w:t>
      </w: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Ürünler, orijinal ambalajında, hasarsız ve eksiksiz olarak teslim edilmelidir.</w:t>
      </w: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Sevkiyat sırasında nakliye sigortası tedarikçi tarafından sağlanmalıdır.</w:t>
      </w: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Teslim edilecek tüm ürünler, ilgili sağlık ve güvenlik yönetmeliklerine uygun olmalıdır.</w:t>
      </w:r>
    </w:p>
    <w:p w:rsidR="00FC3661" w:rsidRPr="00FC3661" w:rsidRDefault="00FC3661" w:rsidP="00FC3661">
      <w:pPr>
        <w:pStyle w:val="ListeParagraf"/>
        <w:numPr>
          <w:ilvl w:val="0"/>
          <w:numId w:val="41"/>
        </w:numPr>
        <w:rPr>
          <w:rFonts w:ascii="Times New Roman" w:eastAsia="Times New Roman" w:hAnsi="Times New Roman" w:cs="Times New Roman"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sz w:val="20"/>
          <w:szCs w:val="20"/>
          <w:lang w:eastAsia="tr-TR"/>
        </w:rPr>
        <w:t>Ürünlerin saklama koşulları ve kullanım talimatları, ambalaj üzerinde açıkça belirtilmelidir.</w:t>
      </w:r>
    </w:p>
    <w:p w:rsidR="00FC3661" w:rsidRPr="00FC3661" w:rsidRDefault="00FC3661" w:rsidP="00FC3661">
      <w:pPr>
        <w:rPr>
          <w:sz w:val="20"/>
          <w:szCs w:val="20"/>
        </w:rPr>
      </w:pPr>
    </w:p>
    <w:p w:rsidR="00FC3661" w:rsidRPr="00FC3661" w:rsidRDefault="00FC3661" w:rsidP="00FC3661">
      <w:pPr>
        <w:rPr>
          <w:sz w:val="20"/>
          <w:szCs w:val="20"/>
        </w:rPr>
      </w:pPr>
    </w:p>
    <w:p w:rsidR="00FC3661" w:rsidRPr="00FC3661" w:rsidRDefault="00FC3661" w:rsidP="00FC3661">
      <w:pPr>
        <w:rPr>
          <w:sz w:val="20"/>
          <w:szCs w:val="20"/>
        </w:rPr>
      </w:pPr>
      <w:r w:rsidRPr="00FC3661">
        <w:rPr>
          <w:sz w:val="20"/>
          <w:szCs w:val="20"/>
        </w:rPr>
        <w:t xml:space="preserve">Yukarıda belirtilen teknik özellikler ve hususlar dikkate alınarak, aşağıda belirtilen </w:t>
      </w:r>
      <w:r w:rsidR="00A50D1A">
        <w:rPr>
          <w:b/>
          <w:sz w:val="20"/>
          <w:szCs w:val="20"/>
        </w:rPr>
        <w:t>8</w:t>
      </w:r>
      <w:bookmarkStart w:id="0" w:name="_GoBack"/>
      <w:bookmarkEnd w:id="0"/>
      <w:r w:rsidRPr="00E000B0">
        <w:rPr>
          <w:b/>
          <w:sz w:val="20"/>
          <w:szCs w:val="20"/>
        </w:rPr>
        <w:t xml:space="preserve"> kalem malzeme</w:t>
      </w:r>
      <w:r w:rsidRPr="00FC3661">
        <w:rPr>
          <w:sz w:val="20"/>
          <w:szCs w:val="20"/>
        </w:rPr>
        <w:t xml:space="preserve"> için teklif sunulması gerekmektedir.</w:t>
      </w:r>
    </w:p>
    <w:p w:rsidR="00FC3661" w:rsidRPr="00FC3661" w:rsidRDefault="00FC3661" w:rsidP="00FC3661">
      <w:pPr>
        <w:rPr>
          <w:sz w:val="20"/>
          <w:szCs w:val="20"/>
        </w:rPr>
      </w:pPr>
    </w:p>
    <w:p w:rsidR="00FC3661" w:rsidRPr="00FC3661" w:rsidRDefault="00FC3661" w:rsidP="00FC3661">
      <w:pPr>
        <w:rPr>
          <w:sz w:val="20"/>
          <w:szCs w:val="20"/>
        </w:rPr>
      </w:pPr>
    </w:p>
    <w:p w:rsidR="00FC3661" w:rsidRPr="00FC3661" w:rsidRDefault="00FC3661" w:rsidP="00FC3661">
      <w:pPr>
        <w:rPr>
          <w:sz w:val="20"/>
          <w:szCs w:val="20"/>
        </w:rPr>
      </w:pPr>
    </w:p>
    <w:p w:rsidR="006357BF" w:rsidRPr="00FC3661" w:rsidRDefault="004649F6" w:rsidP="00FC3661">
      <w:pPr>
        <w:pStyle w:val="ListeParagraf"/>
        <w:numPr>
          <w:ilvl w:val="0"/>
          <w:numId w:val="40"/>
        </w:num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1,5 mL </w:t>
      </w:r>
      <w:r w:rsidR="006357BF"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Ependorf</w:t>
      </w: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Tüpü</w:t>
      </w:r>
      <w:r w:rsidR="006357BF"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(Mikrosantrifüj Tüpü)</w:t>
      </w: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(Kenarı Buğulu, Taksimatlı, 500 adet/paket) </w:t>
      </w:r>
    </w:p>
    <w:p w:rsidR="004649F6" w:rsidRPr="00FC3661" w:rsidRDefault="004649F6" w:rsidP="00FC3661">
      <w:pPr>
        <w:ind w:left="360"/>
        <w:jc w:val="center"/>
        <w:rPr>
          <w:b/>
          <w:sz w:val="20"/>
          <w:szCs w:val="20"/>
        </w:rPr>
      </w:pPr>
      <w:r w:rsidRPr="00FC3661">
        <w:rPr>
          <w:b/>
          <w:bCs/>
          <w:sz w:val="20"/>
          <w:szCs w:val="20"/>
        </w:rPr>
        <w:t>Teknik Şartnamesi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1,5 mL hacminde standart mikrosantrifüj tüp formunda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Laboratuvar santrifüj işlemleri için uygun, yüksek dayanımlı polipropilen (PP) malzemeden üretilmiş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Kimyasal dayanımı yüksek olmalı; asit, baz ve yaygın laboratuvar çözücülerine karşı direnç göstermelidir.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Kenar kısmı buğulu (frosted) yüzeye sahip olmalı, kalem ile yazı yazmaya uygun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Üzerinde hacim taksimatları bulunmalı ve bu işaretler net, silinmeye dayanıklı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Taksimatlar 0,1 mL hassasiyete kadar görsel takip imkânı sağlamalıdır.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Tüp yüzeyi şeffaf olmalı, içerik gözlemlenebilir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Vidalı kapak ile uyumlu olmalı ve sızdırmaz kapanma sağlayacak yapıda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Kapaklı kullanımda buharlaşma ve kontaminasyonu önleyecek tam sızdırmazlık sağlamalıdır.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Yüksek hızlı santrifüj uygulamalarına uygun mekanik dayanıklılığa sahip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En az 12.000--20.000 g arası santrifüj kuvvetlerine dayanıklı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DNaz, RNaz ve pirojen içermeyen (RNase/DNase free, pyrogen free) üretim standardında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Otoklavlanabilir özellikte olmalı ve sterilizasyon sonrası deformasyon göstermemelidir.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Düşük protein bağlama özelliğine sahip olmalı, biyolojik örnek kaybını minimize etmelidir.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PCR, DNA/RNA izolasyonu, hücre kültürü ve biyokimya uygulamalarına uygun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Düz ve stabil taban yapısı sayesinde tüp standlarında dengeli durabilmelidir.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Kapak açma-kapama işlemleri tek elle yapılabilecek ergonomik tasarımda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Numune taşıma ve saklama sırasında kimyasal sızıntı yapmamalıdır.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-80°C'ye kadar düşük sıcaklıklarda yapısal bütünlüğünü koruyabilmelidir.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Homojen üretim kalitesine sahip olmalı, tüpler arasında boyutsal farklılık bulunmamalıdır.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Laboratuvar otomasyon sistemleri ve santrifüj rotorları ile uyumlu olmalıdır. </w:t>
      </w:r>
    </w:p>
    <w:p w:rsidR="004649F6" w:rsidRPr="00FC3661" w:rsidRDefault="004649F6" w:rsidP="00D5081C">
      <w:pPr>
        <w:numPr>
          <w:ilvl w:val="0"/>
          <w:numId w:val="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500 adetlik ekonomik ve standart laboratuvar paketinde sunulmalıdır.</w:t>
      </w:r>
    </w:p>
    <w:p w:rsidR="004649F6" w:rsidRPr="00FC3661" w:rsidRDefault="004649F6" w:rsidP="00D5081C">
      <w:pPr>
        <w:pStyle w:val="ListeParagraf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FC3661" w:rsidRPr="00FC3661" w:rsidRDefault="004649F6" w:rsidP="00FC3661">
      <w:pPr>
        <w:pStyle w:val="ListeParagraf"/>
        <w:numPr>
          <w:ilvl w:val="0"/>
          <w:numId w:val="40"/>
        </w:num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Vakumlu </w:t>
      </w:r>
      <w:r w:rsidR="006357BF"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Tüp (</w:t>
      </w: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Biyokimya Tüp</w:t>
      </w:r>
      <w:r w:rsidR="006357BF"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)</w:t>
      </w: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5 mL Jelli Sarı Kapaklı 100/paket Teknik Şartname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Tüpler pakette 100 adet olarak teslim edilmelidir.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Tüpler vakumlu kan alma sistemine uygun olmalı ve 5 mL ± %10 kan alma kapasitesine sahip olmalıdır.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Tüpler sarı kapaklı, serum ayırıcı jel (separator gel) ve pıhtı aktivatörü içermelidir.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lastRenderedPageBreak/>
        <w:t>Tüpler biyokimya, seroloji ve immünoloji analizlerinde serum elde edilmesine uygun olmalıdır.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Tüpler steril, tek kullanımlık ve pirojensiz olmalıdır.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Tüpler uluslararası kalite standartlarına uygun olarak üretilmiş olmalı ve CE işaretine sahip olmalıdır.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Tüplerin kapakları sızdırmaz özellikte olmalı, santrifüj işlemi sırasında açılma veya sızıntıya neden olmamalıdır.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Tüplerin üzerinde son kullanma tarihi, lot numarası, hacim bilgisi ve üretici firma bilgileri açıkça yer almalıdır.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Ürünler orijinal üretici ambalajında teslim edilmelidir.</w:t>
      </w:r>
    </w:p>
    <w:p w:rsidR="004649F6" w:rsidRPr="00FC3661" w:rsidRDefault="004649F6" w:rsidP="00D5081C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Teslim edilen ürünlerin son kullanma tarihi teslim tarihinden itibaren en az 12 ay olmalıdır.</w:t>
      </w:r>
    </w:p>
    <w:p w:rsidR="006357BF" w:rsidRPr="00FC3661" w:rsidRDefault="004649F6" w:rsidP="00FC3661">
      <w:pPr>
        <w:numPr>
          <w:ilvl w:val="0"/>
          <w:numId w:val="16"/>
        </w:numPr>
        <w:spacing w:before="100" w:beforeAutospacing="1" w:after="160"/>
        <w:rPr>
          <w:sz w:val="20"/>
          <w:szCs w:val="20"/>
        </w:rPr>
      </w:pPr>
      <w:r w:rsidRPr="00FC3661">
        <w:rPr>
          <w:sz w:val="20"/>
          <w:szCs w:val="20"/>
        </w:rPr>
        <w:t>Ürünler kırılma, çatlama veya deformasyon bulunmaksızın eksiksiz olarak teslim edilmelidir.</w:t>
      </w:r>
    </w:p>
    <w:p w:rsidR="004649F6" w:rsidRPr="00FC3661" w:rsidRDefault="004649F6" w:rsidP="00FC3661">
      <w:pPr>
        <w:pStyle w:val="ListeParagraf"/>
        <w:numPr>
          <w:ilvl w:val="0"/>
          <w:numId w:val="40"/>
        </w:num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Nitril Pudrasız Eldiven (Medium 100 Adet/Paket) Teknik Şartnamesi</w:t>
      </w:r>
      <w:r w:rsidR="006357BF"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(2 Adet)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Tek kullanımlık, muayene ve laboratuvar tipi nitril eldiven formunda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Doğal lateks içermemeli, lateks alerjisi riskini ortadan kaldıran sentetik nitril kauçuktan üretilmiş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Pudrasız (powder-free) yapıda olmalı, kontaminasyon riskini minimize etmelidir.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Ellerde rahat kullanım sağlayacak ergonomik tasarıma sahip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Medium (M) beden ölçülerine uygun olmalı ve her iki ele uyum sağlayan (ambidextrous) yapıda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Yüksek elastikiyet ve esneme kabiliyetine sahip olmalı, yırtılmaya ve delinmeye karşı dayanıklı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Kimyasallara (alkol, zayıf asitler, bazlar ve laboratuvar reaktifleri) karşı dirençli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Mikroorganizmalar ve biyolojik kontaminasyonlara karşı bariyer özelliği sağlamalıdır.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Parmak uçlarında hassas tutuş sağlayacak dokulu (textured) yüzeye sahip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İnce yapısı sayesinde yüksek dokunma hassasiyeti ve kontrol imkânı sunmalıdır.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El terlemesini azaltacak şekilde nefes alabilir konfor özelliklerine sahip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Tıbbi muayene, laboratuvar, patoloji, kimya ve genel hijyen uygulamalarına uygun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AQL (Acceptable Quality Level) değeri düşük seviyede olmalı, delinme ve üretim hatası riski minimum olmalıdır.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Tek kullanımlık olup tekrar kullanıma uygun olmamalıdır. </w:t>
      </w:r>
    </w:p>
    <w:p w:rsidR="004649F6" w:rsidRPr="00FC3661" w:rsidRDefault="004649F6" w:rsidP="00D5081C">
      <w:pPr>
        <w:numPr>
          <w:ilvl w:val="0"/>
          <w:numId w:val="17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CE standartlarına uygun şekilde üretilmiş olmalıdır.</w:t>
      </w:r>
    </w:p>
    <w:p w:rsidR="004649F6" w:rsidRPr="00FC3661" w:rsidRDefault="004649F6" w:rsidP="00FC3661">
      <w:pPr>
        <w:pStyle w:val="ListeParagraf"/>
        <w:numPr>
          <w:ilvl w:val="0"/>
          <w:numId w:val="40"/>
        </w:num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Nitril Pudrasız Eldiven (Large 100 Adet/Paket) Teknik Şartnamesi</w:t>
      </w:r>
      <w:r w:rsidR="006357BF"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 xml:space="preserve"> (2 Adet)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Tek kullanımlık, muayene ve laboratuvar tipi nitril eldiven formunda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Doğal lateks içermemeli, lateks alerjisi riskini ortadan kaldıran sentetik nitril kauçuktan üretilmiş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Pudrasız (powder-free) yapıda olmalı, kontaminasyon riskini minimize etmelidir.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Ellerde rahat kullanım sağlayacak ergonomik tasarıma sahip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Large (L) beden ölçülerine uygun olmalı ve her iki ele uyum sağlayan (ambidextrous) yapıda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Yüksek elastikiyet ve esneme kabiliyetine sahip olmalı, yırtılmaya ve delinmeye karşı dayanıklı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Kimyasallara (alkol, zayıf asitler, bazlar ve laboratuvar reaktifleri) karşı dirençli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Mikroorganizmalar ve biyolojik kontaminasyonlara karşı bariyer özelliği sağlamalıdır.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Parmak uçlarında hassas tutuş sağlayacak dokulu (textured) yüzeye sahip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İnce yapısı sayesinde yüksek dokunma hassasiyeti ve kontrol imkânı sunmalıdır.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El terlemesini azaltacak şekilde nefes alabilir konfor özelliklerine sahip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Tıbbi muayene, laboratuvar, patoloji, kimya ve genel hijyen uygulamalarına uygun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AQL (Acceptable Quality Level) değeri düşük seviyede olmalı, delinme ve üretim hatası riski minimum olmalıdır.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Tek kullanımlık olup tekrar kullanıma uygun olmamalıdır. </w:t>
      </w:r>
    </w:p>
    <w:p w:rsidR="004649F6" w:rsidRPr="00FC3661" w:rsidRDefault="004649F6" w:rsidP="00D5081C">
      <w:pPr>
        <w:numPr>
          <w:ilvl w:val="0"/>
          <w:numId w:val="18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CE standartlarına uygun şekilde üretilmiş olmalıdır.</w:t>
      </w:r>
    </w:p>
    <w:p w:rsidR="004649F6" w:rsidRPr="00FC3661" w:rsidRDefault="004649F6" w:rsidP="00FC3661">
      <w:pPr>
        <w:pStyle w:val="ListeParagraf"/>
        <w:numPr>
          <w:ilvl w:val="0"/>
          <w:numId w:val="40"/>
        </w:num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lastRenderedPageBreak/>
        <w:t>5 cc Steril Enjektör Pistonlu-İğneli 100 adet/ Kutu Teknik Şartname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5 mL (cc) hacminde, tek kullanımlık steril enjektör formunda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Enjektör gövdesi yüksek kaliteli, tıbbi sınıf polipropilen malzemeden üretilmiş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Piston (plunger) sistemi akıcı hareket sağlayacak şekilde tasarlanmış olmalı, takılma yapmamalıdır.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Silikonize iç yüzey sayesinde düşük sürtünme ile kontrollü ve hassas sıvı çekme ve verme imkânı sunmalıdır.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Enjektör üzerine kalibre edilmiş, silinmeye dayanıklı hacim skalası (mL/cc) bulunmalıdır.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Ölçüm skalası net, okunabilir ve yüksek doğrulukta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İğne ile birlikte entegre veya takılı şekilde sunulmalı, kullanıma hazır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İğne paslanmaz çelikten üretilmiş olmalı, keskin ve atraumatik giriş sağlayacak şekilde tasarlanmalıdır.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İğne ucu lazer taşlanmış (sharp bevel) olmalı ve dokuya minimum travma oluşturmalıdır.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Luer lock veya Luer slip bağlantı sistemine uygun olmalı ve sızdırmaz bağlantı sağlamalıdır.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Steril, pirojen içermeyen (pyrogen-free) ve tek kullanımlık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EO (etilen oksit) veya eşdeğer yöntemle sterilize edilmiş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Kullanım sırasında sızıntı ve geri kaçak yapmamalıdır.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Hem klinik hem laboratuvar uygulamalarına uygun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Kan alma, sıvı transferi ve genel enjeksiyon işlemleri için kullanılabilir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Şeffaf gövde sayesinde hava kabarcığı kontrolü kolay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Ergonomik parmak tutma alanlarına sahip olmalı, kaymayı önleyici yapıda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Ambalajı steriliteyi koruyacak şekilde tekli veya blister paket formunda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100 adetlik kutu içerisinde düzenli ve koruyucu şekilde paketlenmiş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CE ve tıbbi cihaz standartlarına uygun şekilde üretilmiş olmalıdır. </w:t>
      </w:r>
    </w:p>
    <w:p w:rsidR="004649F6" w:rsidRPr="00FC3661" w:rsidRDefault="004649F6" w:rsidP="00D5081C">
      <w:pPr>
        <w:numPr>
          <w:ilvl w:val="0"/>
          <w:numId w:val="20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Oda sıcaklığında stabil kalmalı ve raf ömrü boyunca sterilitesini korumalıdır. </w:t>
      </w:r>
    </w:p>
    <w:p w:rsidR="004649F6" w:rsidRPr="00FC3661" w:rsidRDefault="004649F6" w:rsidP="00FC3661">
      <w:pPr>
        <w:pStyle w:val="ListeParagraf"/>
        <w:numPr>
          <w:ilvl w:val="0"/>
          <w:numId w:val="40"/>
        </w:num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16×100 mm Tüpler için Tüp Standı (60 Gözlü) Teknik Şartnamesi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16×100 mm ölçülerindeki laboratuvar tüplerinin düzenli şekilde tutulması ve taşınması için tasarlanmış tüp standı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En az 60 adet tüp kapasitesine sahip (60 gözlü) yapıda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Polipropilen (PP), polikarbonat veya eşdeğer kimyasal dayanımlı laboratuvar plastik malzemeden üretilmiş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Asit, baz, alkol ve yaygın laboratuvar kimyasallarına karşı yüksek dayanım göstermelidir.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Otoklavlanabilir yapıda olmalı ve sterilizasyon sonrası deformasyon göstermemelidir.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16 mm çapındaki tüpleri dik ve stabil şekilde tutacak uygun yuva çapına sahip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Tüplerin devrilmesini önleyecek şekilde dengeli ve rijit yapıda tasarlanmış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Kolay taşınabilirlik için ergonomik tutma alanlarına sahip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Hafif ancak dayanıklı yapıda olmalı, uzun süreli kullanıma uygun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Alt tabanı kaymaz özellikte olmalı, çalışma tezgâhında stabil durmalıdır.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Göz yapısı tüplerin kolay yerleştirilip çıkarılmasına imkân sağlamalıdır.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Kimyasal ve mekanik darbelere karşı dayanıklı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Hücre kültürü, biyokimya, mikrobiyoloji ve genel laboratuvar uygulamalarına uygun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Temizliği kolay olmalı, yüzeyinde sıvı tutmayan yapı bulunmalıdır.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Renk stabilitesi yüksek olmalı, uzun süre kullanımda solma veya deformasyon olmamalıdır.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Modüler veya istiflenebilir yapıda olabilir, yer tasarrufu sağlamalıdır.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Numune düzenini kolaylaştıracak şekilde ızgara (grid) yapısına sahip olmalıdır. </w:t>
      </w:r>
    </w:p>
    <w:p w:rsidR="004649F6" w:rsidRPr="00FC3661" w:rsidRDefault="004649F6" w:rsidP="00D5081C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Standart laboratuvar çalışma koşullarına uygun dayanıklılıkta üretilmiş olmalıdır. </w:t>
      </w:r>
    </w:p>
    <w:p w:rsidR="004649F6" w:rsidRPr="00FC3661" w:rsidRDefault="004649F6" w:rsidP="00FC3661">
      <w:pPr>
        <w:numPr>
          <w:ilvl w:val="0"/>
          <w:numId w:val="21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60 gözlü kapasiteyi homojen dağılımla sağlayacak şekilde tasarlanmış olmalıdır</w:t>
      </w:r>
      <w:r w:rsidR="00FC3661">
        <w:rPr>
          <w:sz w:val="20"/>
          <w:szCs w:val="20"/>
        </w:rPr>
        <w:t>.</w:t>
      </w:r>
    </w:p>
    <w:p w:rsidR="004649F6" w:rsidRPr="00FC3661" w:rsidRDefault="004649F6" w:rsidP="00D5081C">
      <w:pPr>
        <w:pStyle w:val="ListeParagraf"/>
        <w:jc w:val="center"/>
        <w:rPr>
          <w:rFonts w:ascii="Times New Roman" w:eastAsia="Times New Roman" w:hAnsi="Times New Roman" w:cs="Times New Roman"/>
          <w:sz w:val="20"/>
          <w:szCs w:val="20"/>
          <w:lang w:eastAsia="tr-TR"/>
        </w:rPr>
      </w:pPr>
    </w:p>
    <w:p w:rsidR="004649F6" w:rsidRPr="00FC3661" w:rsidRDefault="004649F6" w:rsidP="00FC3661">
      <w:pPr>
        <w:pStyle w:val="ListeParagraf"/>
        <w:numPr>
          <w:ilvl w:val="0"/>
          <w:numId w:val="40"/>
        </w:num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Rat Tümör Necrosis Factor α (TNF-α) Elisa Kitinin Teknik Şartnamesi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Kitin miadı en az 12 ay olmalıdır. 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Kit ile en az 96 test çalışılabilmelidir. Kitler orijinal ambalajlarında bulunmalıdır. Ambalajlar üzerinde marka, katalog no ve saklama koşulları bulunmalıdır. ELISA Kitinin reaktivitesi Rat olmalıdır.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ELISA Kiti, serum, plazma, hücre kültürü süpernatları, doku homojenatları, hücre lizatları in vitro kantitatif belirlenmesine olanak tanımalıdır.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lastRenderedPageBreak/>
        <w:t>Kitin tespit etme yöntemi Sandviç ELISA, Çift Antikor'da olması beklenmetedir.</w:t>
      </w:r>
    </w:p>
    <w:p w:rsidR="004649F6" w:rsidRPr="00FC3661" w:rsidRDefault="00E000B0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K</w:t>
      </w:r>
      <w:r w:rsidR="004649F6" w:rsidRPr="00FC3661">
        <w:rPr>
          <w:sz w:val="20"/>
          <w:szCs w:val="20"/>
        </w:rPr>
        <w:t>it Intra-Assay: CV&lt;10% ve Inter-Assay: CV&lt;12% aralığında çalışması hedeflenmektedir.</w:t>
      </w:r>
    </w:p>
    <w:p w:rsidR="00E000B0" w:rsidRDefault="00E000B0" w:rsidP="00E000B0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Range: 3.906-250 pg/ml olmalıdır.</w:t>
      </w:r>
    </w:p>
    <w:p w:rsidR="00E000B0" w:rsidRPr="00E000B0" w:rsidRDefault="00E000B0" w:rsidP="00E000B0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>
        <w:rPr>
          <w:sz w:val="20"/>
          <w:szCs w:val="20"/>
        </w:rPr>
        <w:t>Sensitivity: 2.344 pg/ml olmalıdır.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Kit 6 ay boyunca 2-8°C sıcaklık aralığında stabilitesini koruması gerekmektedir.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Standart kontrolleri kit ile birlikte ücretsiz verilmelidir.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Kitler uluslararası bir kalite kontrol belgesine sahip olmalıdır.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Ürün saklama koşullarına uygun olarak teslim edilmelidir.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Kit kutusu teslimatta açılarak kontrol edileceğinden kargo firması ile teslimat kabul edilmeyecek firma elemanının ilgili kitlerin taşınması için gerekli özellikler dikkate alınarak (Soğuk zincir) bizzat teslimat şartı aranacaktır.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Kit 450 nm dalga boyunda olmalıdır.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Sonuçların güvenilir çıkmaması durumunda, kitlerin yeniden çalışılması ve sürecin en geç 10 (on) gün içinde tamamlanması yüklenicinin sorumluluğundadır.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 xml:space="preserve">Satıcı firma, DİSTRİBÜTÖR BELGESİ bayii ise YETKİLİ SATICI belgesine sahip olmalıdır. 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Bozuk çıkan ya da güvenilir sonuç vermeyen kitler yenisi ile değiştirilmelidir.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Ürün, sağlığa zararlı olduğu düşünülen hiçbir madde içermemelidir.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Ürün ile igili gerekli aplikasyon sağlanmalıdır.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Ürün firma yetkilisi tarafından elden teslim edilmektedir. Kargo ile teslimat yapılamamaktadır. Kit soğuk zincir ürünü olduğundan data loggerlar ile takip edilmekte ve gerektiğinde bu veriler tarafımızla paylaşılmalıdır.</w:t>
      </w:r>
    </w:p>
    <w:p w:rsidR="004649F6" w:rsidRPr="00FC3661" w:rsidRDefault="004649F6" w:rsidP="00D5081C">
      <w:pPr>
        <w:numPr>
          <w:ilvl w:val="0"/>
          <w:numId w:val="22"/>
        </w:numPr>
        <w:spacing w:before="100" w:beforeAutospacing="1" w:after="100" w:afterAutospacing="1"/>
        <w:rPr>
          <w:sz w:val="20"/>
          <w:szCs w:val="20"/>
        </w:rPr>
      </w:pPr>
      <w:r w:rsidRPr="00FC3661">
        <w:rPr>
          <w:sz w:val="20"/>
          <w:szCs w:val="20"/>
        </w:rPr>
        <w:t>Kitin çalışmadığı tespit edilirse ücretsiz olarak değişimini yapmalıdır.</w:t>
      </w:r>
    </w:p>
    <w:p w:rsidR="00172507" w:rsidRPr="00FC3661" w:rsidRDefault="00172507" w:rsidP="00FC3661">
      <w:pPr>
        <w:pStyle w:val="ListeParagraf"/>
        <w:numPr>
          <w:ilvl w:val="0"/>
          <w:numId w:val="40"/>
        </w:numPr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tr-TR"/>
        </w:rPr>
      </w:pPr>
      <w:r w:rsidRPr="00FC3661">
        <w:rPr>
          <w:rFonts w:ascii="Times New Roman" w:eastAsia="Times New Roman" w:hAnsi="Times New Roman" w:cs="Times New Roman"/>
          <w:b/>
          <w:bCs/>
          <w:sz w:val="20"/>
          <w:szCs w:val="20"/>
          <w:lang w:eastAsia="tr-TR"/>
        </w:rPr>
        <w:t>Rat Interleukin 6 (IL-6) Elisa Kitinin Teknik Şartnamesi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 xml:space="preserve">Kitin miadı en az 12 ay olmalıdır. 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 xml:space="preserve">Kit ile en az 96 test çalışılabilmelidir. Kitler orijinal ambalajlarında bulunmalıdır. Ambalajlar üzerinde marka, katalog no ve saklama koşulları bulunmalıdır. 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ELISA Kitinin reaktivitesi Rat olmalıdır.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ELISA Kiti, serum, plazma, hücre kültürü süpernatları, doku homojenatları, hücre lizatları in vitro kantitatif belirlenmesine olanak tanır.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Kitin tespit etme yöntemi Sandviç ELISA, Çift Antikor'da olması beklenmetedir.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Kit Intra-Assay: CV&lt;10% ve Inter-Assay: CV&lt;12% aralığında çalışması hedeflenmektedir.</w:t>
      </w:r>
    </w:p>
    <w:p w:rsidR="00E000B0" w:rsidRDefault="00E000B0" w:rsidP="00E000B0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>
        <w:rPr>
          <w:sz w:val="20"/>
          <w:szCs w:val="20"/>
        </w:rPr>
        <w:t>Range: 62.5-4000 pg/ml olmalıdır.</w:t>
      </w:r>
    </w:p>
    <w:p w:rsidR="00E000B0" w:rsidRPr="00E000B0" w:rsidRDefault="00E000B0" w:rsidP="00E000B0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>
        <w:rPr>
          <w:sz w:val="20"/>
          <w:szCs w:val="20"/>
        </w:rPr>
        <w:t>Sensitivity: 37.5 pg/ml</w:t>
      </w:r>
      <w:r w:rsidRPr="00E000B0">
        <w:rPr>
          <w:sz w:val="20"/>
          <w:szCs w:val="20"/>
        </w:rPr>
        <w:t xml:space="preserve"> </w:t>
      </w:r>
      <w:r>
        <w:rPr>
          <w:sz w:val="20"/>
          <w:szCs w:val="20"/>
        </w:rPr>
        <w:t>olmalıdır.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Kit 6 ay boyunca 2-8°C sıcaklık aralığında stabilitesini koruması gerekmektedir.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Standart kontrolleri kit ile birlikte ücretsiz verilmelidir.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Kitler uluslararası bir kalite kontrol belgesine sahip olmalıdır.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Ürün saklama koşullarına uygun olarak teslim edilmelidir.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Kit kutusu teslimatta açılarak kontrol edileceğinden kargo firması ile teslimat kabul edilmeyecek firma elemanının ilgili kitlerin taşınması için gerekli özellikler dikkate alınarak (Soğuk zincir) bizzat teslimat şartı aranacaktır.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Kit 450 nm dalga boyunda olmalıdır.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Sonuçların güvenilir çıkmaması durumunda, kitlerin yeniden çalışılması ve sürecin en geç 10 (on) gün içinde tamamlanması yüklenicinin sorumluluğundadır.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 xml:space="preserve">Satıcı firma, DİSTRİBÜTÖR BELGESİ bayii ise YETKİLİ SATICI belgesine sahip olmalıdır. 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Bozuk çıkan ya da güvenilir sonuç vermeyen kitler yenisi ile değiştirilmelidir.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Ürün, sağlığa zararlı olduğu düşünülen hiçbir madde içermemelidir.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Ürün ile igili gerekli aplikasyon sağlanmalıdır.</w:t>
      </w:r>
    </w:p>
    <w:p w:rsidR="00172507" w:rsidRPr="00FC3661" w:rsidRDefault="00172507" w:rsidP="00FC3661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Ürün firma yetkilisi tarafından elden teslim edilmektedir. Kargo ile teslimat yapılamamaktadır. Kit soğuk zincir ürünü olduğundan data loggerlar ile takip edilmekte ve gerektiğinde bu veriler tarafımızla paylaşılmalıdır.</w:t>
      </w:r>
    </w:p>
    <w:p w:rsidR="004649F6" w:rsidRDefault="00172507" w:rsidP="00D5081C">
      <w:pPr>
        <w:numPr>
          <w:ilvl w:val="0"/>
          <w:numId w:val="23"/>
        </w:numPr>
        <w:spacing w:before="100" w:beforeAutospacing="1" w:after="100" w:afterAutospacing="1"/>
        <w:ind w:left="709"/>
        <w:rPr>
          <w:sz w:val="20"/>
          <w:szCs w:val="20"/>
        </w:rPr>
      </w:pPr>
      <w:r w:rsidRPr="00FC3661">
        <w:rPr>
          <w:sz w:val="20"/>
          <w:szCs w:val="20"/>
        </w:rPr>
        <w:t>Kitin çalışmadığı tespit edilirse ücretsiz olarak değişimini yapmalıdır.</w:t>
      </w:r>
    </w:p>
    <w:p w:rsidR="00111B95" w:rsidRDefault="00111B95" w:rsidP="00111B95">
      <w:pPr>
        <w:spacing w:before="100" w:beforeAutospacing="1" w:after="100" w:afterAutospacing="1"/>
        <w:rPr>
          <w:sz w:val="20"/>
          <w:szCs w:val="20"/>
        </w:rPr>
      </w:pPr>
    </w:p>
    <w:p w:rsidR="00172507" w:rsidRPr="00FC3661" w:rsidRDefault="00172507" w:rsidP="00D5081C">
      <w:pPr>
        <w:rPr>
          <w:sz w:val="20"/>
          <w:szCs w:val="20"/>
        </w:rPr>
      </w:pPr>
    </w:p>
    <w:sectPr w:rsidR="00172507" w:rsidRPr="00FC3661" w:rsidSect="00A904DB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D598C"/>
    <w:multiLevelType w:val="multilevel"/>
    <w:tmpl w:val="271471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C7385E"/>
    <w:multiLevelType w:val="multilevel"/>
    <w:tmpl w:val="4E160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492B3F"/>
    <w:multiLevelType w:val="multilevel"/>
    <w:tmpl w:val="8C643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360AA2"/>
    <w:multiLevelType w:val="multilevel"/>
    <w:tmpl w:val="2BCA2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2FE5489"/>
    <w:multiLevelType w:val="multilevel"/>
    <w:tmpl w:val="9B6041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BF2AFF"/>
    <w:multiLevelType w:val="multilevel"/>
    <w:tmpl w:val="4796B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004DE"/>
    <w:multiLevelType w:val="multilevel"/>
    <w:tmpl w:val="EC8C77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83700A"/>
    <w:multiLevelType w:val="multilevel"/>
    <w:tmpl w:val="1598B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2C2E64"/>
    <w:multiLevelType w:val="multilevel"/>
    <w:tmpl w:val="CB9CBF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A6D6EBF"/>
    <w:multiLevelType w:val="multilevel"/>
    <w:tmpl w:val="DE805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8E6C9E"/>
    <w:multiLevelType w:val="multilevel"/>
    <w:tmpl w:val="7826A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A16FDF"/>
    <w:multiLevelType w:val="multilevel"/>
    <w:tmpl w:val="190A0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2670536"/>
    <w:multiLevelType w:val="multilevel"/>
    <w:tmpl w:val="1C2E9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87138BC"/>
    <w:multiLevelType w:val="multilevel"/>
    <w:tmpl w:val="8B46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9612A49"/>
    <w:multiLevelType w:val="multilevel"/>
    <w:tmpl w:val="C8F047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9805788"/>
    <w:multiLevelType w:val="hybridMultilevel"/>
    <w:tmpl w:val="15547DEE"/>
    <w:lvl w:ilvl="0" w:tplc="9418D0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BA0CF3"/>
    <w:multiLevelType w:val="hybridMultilevel"/>
    <w:tmpl w:val="12E06CFC"/>
    <w:lvl w:ilvl="0" w:tplc="D64CA2A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CAC71C0"/>
    <w:multiLevelType w:val="multilevel"/>
    <w:tmpl w:val="644AD1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FBE5325"/>
    <w:multiLevelType w:val="multilevel"/>
    <w:tmpl w:val="05887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FD667B6"/>
    <w:multiLevelType w:val="multilevel"/>
    <w:tmpl w:val="FC248A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339552A"/>
    <w:multiLevelType w:val="multilevel"/>
    <w:tmpl w:val="E24C1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3450BAB"/>
    <w:multiLevelType w:val="multilevel"/>
    <w:tmpl w:val="912A6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0AA7138"/>
    <w:multiLevelType w:val="multilevel"/>
    <w:tmpl w:val="8C725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12E4876"/>
    <w:multiLevelType w:val="multilevel"/>
    <w:tmpl w:val="4D145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59650DD"/>
    <w:multiLevelType w:val="multilevel"/>
    <w:tmpl w:val="EAD0E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2525D7"/>
    <w:multiLevelType w:val="multilevel"/>
    <w:tmpl w:val="D93A074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6" w15:restartNumberingAfterBreak="0">
    <w:nsid w:val="49B16164"/>
    <w:multiLevelType w:val="multilevel"/>
    <w:tmpl w:val="14D6D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E5189C"/>
    <w:multiLevelType w:val="multilevel"/>
    <w:tmpl w:val="774C0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EEB4CAC"/>
    <w:multiLevelType w:val="multilevel"/>
    <w:tmpl w:val="29786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F5D5DC6"/>
    <w:multiLevelType w:val="multilevel"/>
    <w:tmpl w:val="752448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09E12A3"/>
    <w:multiLevelType w:val="multilevel"/>
    <w:tmpl w:val="4A9C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676571"/>
    <w:multiLevelType w:val="multilevel"/>
    <w:tmpl w:val="BF00F7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6D43D70"/>
    <w:multiLevelType w:val="multilevel"/>
    <w:tmpl w:val="777A25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E163183"/>
    <w:multiLevelType w:val="multilevel"/>
    <w:tmpl w:val="78FA9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2552492"/>
    <w:multiLevelType w:val="multilevel"/>
    <w:tmpl w:val="A5A07DBA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35" w15:restartNumberingAfterBreak="0">
    <w:nsid w:val="682F17EF"/>
    <w:multiLevelType w:val="multilevel"/>
    <w:tmpl w:val="E35A75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E77084C"/>
    <w:multiLevelType w:val="hybridMultilevel"/>
    <w:tmpl w:val="16588110"/>
    <w:lvl w:ilvl="0" w:tplc="041F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7" w15:restartNumberingAfterBreak="0">
    <w:nsid w:val="6EC139C1"/>
    <w:multiLevelType w:val="multilevel"/>
    <w:tmpl w:val="D0E8D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556265"/>
    <w:multiLevelType w:val="multilevel"/>
    <w:tmpl w:val="1592E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225653"/>
    <w:multiLevelType w:val="multilevel"/>
    <w:tmpl w:val="C77C9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D2D76E1"/>
    <w:multiLevelType w:val="multilevel"/>
    <w:tmpl w:val="D05A85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B23481"/>
    <w:multiLevelType w:val="multilevel"/>
    <w:tmpl w:val="D6B6B1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6"/>
  </w:num>
  <w:num w:numId="2">
    <w:abstractNumId w:val="4"/>
  </w:num>
  <w:num w:numId="3">
    <w:abstractNumId w:val="39"/>
  </w:num>
  <w:num w:numId="4">
    <w:abstractNumId w:val="24"/>
  </w:num>
  <w:num w:numId="5">
    <w:abstractNumId w:val="41"/>
  </w:num>
  <w:num w:numId="6">
    <w:abstractNumId w:val="18"/>
  </w:num>
  <w:num w:numId="7">
    <w:abstractNumId w:val="1"/>
  </w:num>
  <w:num w:numId="8">
    <w:abstractNumId w:val="13"/>
  </w:num>
  <w:num w:numId="9">
    <w:abstractNumId w:val="21"/>
  </w:num>
  <w:num w:numId="10">
    <w:abstractNumId w:val="27"/>
  </w:num>
  <w:num w:numId="11">
    <w:abstractNumId w:val="17"/>
  </w:num>
  <w:num w:numId="12">
    <w:abstractNumId w:val="30"/>
  </w:num>
  <w:num w:numId="13">
    <w:abstractNumId w:val="19"/>
  </w:num>
  <w:num w:numId="14">
    <w:abstractNumId w:val="22"/>
  </w:num>
  <w:num w:numId="15">
    <w:abstractNumId w:val="38"/>
  </w:num>
  <w:num w:numId="16">
    <w:abstractNumId w:val="31"/>
  </w:num>
  <w:num w:numId="17">
    <w:abstractNumId w:val="2"/>
  </w:num>
  <w:num w:numId="18">
    <w:abstractNumId w:val="10"/>
  </w:num>
  <w:num w:numId="19">
    <w:abstractNumId w:val="11"/>
  </w:num>
  <w:num w:numId="20">
    <w:abstractNumId w:val="32"/>
  </w:num>
  <w:num w:numId="21">
    <w:abstractNumId w:val="37"/>
  </w:num>
  <w:num w:numId="22">
    <w:abstractNumId w:val="35"/>
  </w:num>
  <w:num w:numId="23">
    <w:abstractNumId w:val="34"/>
  </w:num>
  <w:num w:numId="24">
    <w:abstractNumId w:val="0"/>
  </w:num>
  <w:num w:numId="25">
    <w:abstractNumId w:val="25"/>
  </w:num>
  <w:num w:numId="26">
    <w:abstractNumId w:val="9"/>
  </w:num>
  <w:num w:numId="27">
    <w:abstractNumId w:val="12"/>
  </w:num>
  <w:num w:numId="28">
    <w:abstractNumId w:val="28"/>
  </w:num>
  <w:num w:numId="29">
    <w:abstractNumId w:val="23"/>
  </w:num>
  <w:num w:numId="30">
    <w:abstractNumId w:val="20"/>
  </w:num>
  <w:num w:numId="31">
    <w:abstractNumId w:val="29"/>
  </w:num>
  <w:num w:numId="32">
    <w:abstractNumId w:val="33"/>
  </w:num>
  <w:num w:numId="33">
    <w:abstractNumId w:val="8"/>
  </w:num>
  <w:num w:numId="34">
    <w:abstractNumId w:val="40"/>
  </w:num>
  <w:num w:numId="35">
    <w:abstractNumId w:val="6"/>
  </w:num>
  <w:num w:numId="36">
    <w:abstractNumId w:val="5"/>
  </w:num>
  <w:num w:numId="37">
    <w:abstractNumId w:val="7"/>
  </w:num>
  <w:num w:numId="38">
    <w:abstractNumId w:val="3"/>
  </w:num>
  <w:num w:numId="39">
    <w:abstractNumId w:val="14"/>
  </w:num>
  <w:num w:numId="40">
    <w:abstractNumId w:val="15"/>
  </w:num>
  <w:num w:numId="41">
    <w:abstractNumId w:val="16"/>
  </w:num>
  <w:num w:numId="42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9F6"/>
    <w:rsid w:val="00026AF5"/>
    <w:rsid w:val="000D2969"/>
    <w:rsid w:val="00111B95"/>
    <w:rsid w:val="00145C18"/>
    <w:rsid w:val="00172507"/>
    <w:rsid w:val="001A59BE"/>
    <w:rsid w:val="004649F6"/>
    <w:rsid w:val="006357BF"/>
    <w:rsid w:val="007900FD"/>
    <w:rsid w:val="0083524E"/>
    <w:rsid w:val="00A50D1A"/>
    <w:rsid w:val="00A904DB"/>
    <w:rsid w:val="00AB290B"/>
    <w:rsid w:val="00AF1080"/>
    <w:rsid w:val="00D5081C"/>
    <w:rsid w:val="00E000B0"/>
    <w:rsid w:val="00E562CC"/>
    <w:rsid w:val="00FB1544"/>
    <w:rsid w:val="00FC3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8AFCFF8"/>
  <w15:chartTrackingRefBased/>
  <w15:docId w15:val="{51AAE666-1CEF-194E-B921-9B8107865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000B0"/>
    <w:rPr>
      <w:rFonts w:ascii="Times New Roman" w:eastAsia="Times New Roman" w:hAnsi="Times New Roman" w:cs="Times New Roman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649F6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4649F6"/>
    <w:rPr>
      <w:b/>
      <w:bCs/>
    </w:rPr>
  </w:style>
  <w:style w:type="paragraph" w:styleId="ListeParagraf">
    <w:name w:val="List Paragraph"/>
    <w:basedOn w:val="Normal"/>
    <w:uiPriority w:val="34"/>
    <w:qFormat/>
    <w:rsid w:val="004649F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table" w:styleId="TabloKlavuzu">
    <w:name w:val="Table Grid"/>
    <w:basedOn w:val="NormalTablo"/>
    <w:uiPriority w:val="39"/>
    <w:rsid w:val="00111B95"/>
    <w:rPr>
      <w:kern w:val="2"/>
      <w:sz w:val="22"/>
      <w:szCs w:val="2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07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4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5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9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5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8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03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4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86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4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5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0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7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9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84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53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7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62820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75940651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06194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90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67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17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52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02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24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21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78704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59429118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37897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76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0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4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7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15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0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5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8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52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33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1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70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2110</Words>
  <Characters>12032</Characters>
  <Application>Microsoft Office Word</Application>
  <DocSecurity>0</DocSecurity>
  <Lines>100</Lines>
  <Paragraphs>28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Hakem</dc:creator>
  <cp:keywords/>
  <dc:description/>
  <cp:lastModifiedBy>Hakem</cp:lastModifiedBy>
  <cp:revision>7</cp:revision>
  <dcterms:created xsi:type="dcterms:W3CDTF">2026-06-22T16:10:00Z</dcterms:created>
  <dcterms:modified xsi:type="dcterms:W3CDTF">2026-10-01T07:47:00Z</dcterms:modified>
</cp:coreProperties>
</file>