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D697DF" w14:textId="77777777" w:rsidR="00024DBD" w:rsidRPr="00024DBD" w:rsidRDefault="00024DBD" w:rsidP="00024DBD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qPCR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 2X MASTER MIX – Teknik Şartname</w:t>
      </w:r>
    </w:p>
    <w:p w14:paraId="098D4AB7" w14:textId="77777777" w:rsidR="00024DBD" w:rsidRPr="00024DBD" w:rsidRDefault="00024DBD" w:rsidP="00024DBD">
      <w:p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b/>
          <w:bCs/>
          <w:sz w:val="20"/>
          <w:szCs w:val="20"/>
        </w:rPr>
        <w:t>Miktar: 1 Kutu / 500 Reaksiyon</w:t>
      </w:r>
    </w:p>
    <w:p w14:paraId="0C77F5F9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>Ürün, DNA örneklerinin kantitatif gerçek zamanlı polimeraz zincir reaksiyonu (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Real-Time PCR /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qPCR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) yöntemiyle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amplifikasyonu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ve kantitatif olarak değerlendirilmesine uygun,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kullanıma hazır 2X konsantrasyonda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qPCR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 Master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Mix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olmalıdır.</w:t>
      </w:r>
    </w:p>
    <w:p w14:paraId="7123FA5D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Ürün, reaksiyon kurulumu sırasında yalnızca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>DNA/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cDNA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template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 ve hedefe özgü primerlerin</w:t>
      </w:r>
      <w:r w:rsidRPr="00024DBD">
        <w:rPr>
          <w:rFonts w:ascii="Times New Roman" w:hAnsi="Times New Roman" w:cs="Times New Roman"/>
          <w:sz w:val="20"/>
          <w:szCs w:val="20"/>
        </w:rPr>
        <w:t xml:space="preserve"> eklenmesine olanak sağlayacak şekilde optimize edilmiş hazır Master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Mix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formunda olmalıdır.</w:t>
      </w:r>
    </w:p>
    <w:p w14:paraId="0C48C8BC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Master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Mix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içerisinde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qPCR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amplifikasyonu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için gerekli olan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>DNA polimeraz enzimi, reaksiyon tampon sistemi, Mg²⁺ iyonları, dNTP bileşenleri ve reaksiyonun stabil ve tekrarlanabilir şekilde yürütülmesini sağlayan yardımcı bileşenler</w:t>
      </w:r>
      <w:r w:rsidRPr="00024DBD">
        <w:rPr>
          <w:rFonts w:ascii="Times New Roman" w:hAnsi="Times New Roman" w:cs="Times New Roman"/>
          <w:sz w:val="20"/>
          <w:szCs w:val="20"/>
        </w:rPr>
        <w:t xml:space="preserve"> optimize edilmiş konsantrasyonlarda bulunmalıdır.</w:t>
      </w:r>
    </w:p>
    <w:p w14:paraId="5F498D04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Kullanılan DNA polimeraz, klasik yabanıl tip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Taq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DNA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polimerazlara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kıyasla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>yüksek işlem (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processivity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>) kapasitesi ve hızlı uzama performansı</w:t>
      </w:r>
      <w:r w:rsidRPr="00024DBD">
        <w:rPr>
          <w:rFonts w:ascii="Times New Roman" w:hAnsi="Times New Roman" w:cs="Times New Roman"/>
          <w:sz w:val="20"/>
          <w:szCs w:val="20"/>
        </w:rPr>
        <w:t xml:space="preserve"> sağlayacak şekilde geliştirilmiş/mühendislik ürünü bir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Taq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DNA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polimeraz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olmalıdır.</w:t>
      </w:r>
    </w:p>
    <w:p w14:paraId="23B3BF8D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DNA polimerazın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5′→3′ DNA polimeraz aktivitesine ve 5′→3′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ekzonükleaz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 aktivitesine</w:t>
      </w:r>
      <w:r w:rsidRPr="00024DBD">
        <w:rPr>
          <w:rFonts w:ascii="Times New Roman" w:hAnsi="Times New Roman" w:cs="Times New Roman"/>
          <w:sz w:val="20"/>
          <w:szCs w:val="20"/>
        </w:rPr>
        <w:t xml:space="preserve"> sahip olması, buna karşılık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3′→5′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ekzonükleaz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 aktivitesinin bulunmaması</w:t>
      </w:r>
      <w:r w:rsidRPr="00024DBD">
        <w:rPr>
          <w:rFonts w:ascii="Times New Roman" w:hAnsi="Times New Roman" w:cs="Times New Roman"/>
          <w:sz w:val="20"/>
          <w:szCs w:val="20"/>
        </w:rPr>
        <w:t xml:space="preserve"> gerekmektedir. </w:t>
      </w:r>
      <w:hyperlink r:id="rId6" w:history="1">
        <w:r w:rsidRPr="00024DBD">
          <w:rPr>
            <w:rStyle w:val="Kpr"/>
            <w:rFonts w:ascii="Times New Roman" w:hAnsi="Times New Roman" w:cs="Times New Roman"/>
            <w:sz w:val="20"/>
            <w:szCs w:val="20"/>
          </w:rPr>
          <w:t>abmgood.com</w:t>
        </w:r>
      </w:hyperlink>
    </w:p>
    <w:p w14:paraId="41C849AE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Enzim, yüksek amplifikasyon verimi ve düşük miktardaki hedef DNA/cDNA'nın güvenilir şekilde tespitine olanak sağlayacak şekilde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>yüksek duyarlılık ve güçlü amplifikasyon performansı</w:t>
      </w:r>
      <w:r w:rsidRPr="00024DBD">
        <w:rPr>
          <w:rFonts w:ascii="Times New Roman" w:hAnsi="Times New Roman" w:cs="Times New Roman"/>
          <w:sz w:val="20"/>
          <w:szCs w:val="20"/>
        </w:rPr>
        <w:t xml:space="preserve"> göstermelidir.</w:t>
      </w:r>
    </w:p>
    <w:p w14:paraId="3BBF80A9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Master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Mix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, standart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Taq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DNA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polimerazlara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kıyasla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>hızlandırılmış PCR/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qPCR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 protokollerinde kullanılmaya uygun</w:t>
      </w:r>
      <w:r w:rsidRPr="00024DBD">
        <w:rPr>
          <w:rFonts w:ascii="Times New Roman" w:hAnsi="Times New Roman" w:cs="Times New Roman"/>
          <w:sz w:val="20"/>
          <w:szCs w:val="20"/>
        </w:rPr>
        <w:t xml:space="preserve"> olmalı ve uygun cihaz/protokol koşullarında reaksiyon süresinin önemli ölçüde azaltılmasına olanak sağlamalıdır. Üretici,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BlasTaq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teknolojisinin standart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Taq'a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göre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qPCR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çalışma süresini %70'e kadar azaltabildiğini belirtmektedir. </w:t>
      </w:r>
      <w:hyperlink r:id="rId7" w:history="1">
        <w:r w:rsidRPr="00024DBD">
          <w:rPr>
            <w:rStyle w:val="Kpr"/>
            <w:rFonts w:ascii="Times New Roman" w:hAnsi="Times New Roman" w:cs="Times New Roman"/>
            <w:sz w:val="20"/>
            <w:szCs w:val="20"/>
          </w:rPr>
          <w:t>abmgood.com</w:t>
        </w:r>
      </w:hyperlink>
    </w:p>
    <w:p w14:paraId="3CB7B52D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Ürün,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SYBR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Green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 ve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EvaGreen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 prensibiyle çalışan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dye-based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qPCR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 uygulamalarına</w:t>
      </w:r>
      <w:r w:rsidRPr="00024DBD">
        <w:rPr>
          <w:rFonts w:ascii="Times New Roman" w:hAnsi="Times New Roman" w:cs="Times New Roman"/>
          <w:sz w:val="20"/>
          <w:szCs w:val="20"/>
        </w:rPr>
        <w:t xml:space="preserve"> uygun floresan algılama sistemi içermelidir.</w:t>
      </w:r>
    </w:p>
    <w:p w14:paraId="6EAE5AC2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Master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Mix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içerisinde bulunan floresan boya, çift iplikli DNA oluşumunun gerçek zamanlı olarak izlenmesine ve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amplifikasyon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eğrisinin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qPCR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cihazı tarafından okunmasına uygun olmalıdır.</w:t>
      </w:r>
    </w:p>
    <w:p w14:paraId="31DCB565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Ürün, ayrıca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prob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bazlı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qPCR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ürünlerinden farklı olarak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SYBR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Green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>/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EvaGreen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 uyumlu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dye-based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qPCR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çalışmalarında kullanılmak üzere tasarlanmış olmalıdır.</w:t>
      </w:r>
    </w:p>
    <w:p w14:paraId="7B27B356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Master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Mix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, farklı marka ve modellerdeki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>Real-Time PCR/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qPCR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 cihazlarıyla kullanılabilecek geniş cihaz uyumluluğuna</w:t>
      </w:r>
      <w:r w:rsidRPr="00024DBD">
        <w:rPr>
          <w:rFonts w:ascii="Times New Roman" w:hAnsi="Times New Roman" w:cs="Times New Roman"/>
          <w:sz w:val="20"/>
          <w:szCs w:val="20"/>
        </w:rPr>
        <w:t xml:space="preserve"> sahip olmalıdır.</w:t>
      </w:r>
    </w:p>
    <w:p w14:paraId="3D17EDAB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Ürün ile birlikte, cihazın optik sistemine göre kullanılabilmesi amacıyla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ROX Reference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Dye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ayrıca sağlanmalıdır.</w:t>
      </w:r>
    </w:p>
    <w:p w14:paraId="5A0583AC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ROX referans boyasının ayrı olarak temin edilmesi sayesinde ürünün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>yüksek ROX, düşük ROX ve ROX gerektirmeyen Real-Time PCR cihazlarında</w:t>
      </w:r>
      <w:r w:rsidRPr="00024DBD">
        <w:rPr>
          <w:rFonts w:ascii="Times New Roman" w:hAnsi="Times New Roman" w:cs="Times New Roman"/>
          <w:sz w:val="20"/>
          <w:szCs w:val="20"/>
        </w:rPr>
        <w:t xml:space="preserve"> kullanılmasına olanak sağlanmalıdır.</w:t>
      </w:r>
    </w:p>
    <w:p w14:paraId="2099536C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>Ürün, yüksek ROX gerektiren cihazlarda kullanılabilmesi için uygun konsantrasyonda ROX referans boyası ilavesine olanak sağlamalı; düşük ROX gerektiren cihazlarda ise daha düşük konsantrasyonda kullanılabilmelidir.</w:t>
      </w:r>
    </w:p>
    <w:p w14:paraId="35222C54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ROX içermeyen cihazlarda Master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Mix'in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>ROX eklenmeden doğrudan kullanılabilmesine</w:t>
      </w:r>
      <w:r w:rsidRPr="00024DBD">
        <w:rPr>
          <w:rFonts w:ascii="Times New Roman" w:hAnsi="Times New Roman" w:cs="Times New Roman"/>
          <w:sz w:val="20"/>
          <w:szCs w:val="20"/>
        </w:rPr>
        <w:t xml:space="preserve"> olanak sağlamalıdır. </w:t>
      </w:r>
      <w:hyperlink r:id="rId8" w:history="1">
        <w:r w:rsidRPr="00024DBD">
          <w:rPr>
            <w:rStyle w:val="Kpr"/>
            <w:rFonts w:ascii="Times New Roman" w:hAnsi="Times New Roman" w:cs="Times New Roman"/>
            <w:sz w:val="20"/>
            <w:szCs w:val="20"/>
          </w:rPr>
          <w:t>abmgood.com</w:t>
        </w:r>
      </w:hyperlink>
    </w:p>
    <w:p w14:paraId="7B0B610A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>Ürün; ABI/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Applied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Biosystems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Bio-Rad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Roche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Qiagen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Eppendorf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Thermo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Scientific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Illumina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Analytik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Jena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ve benzeri yaygın Real-Time PCR platformlarıyla uyumlu çalışmaya uygun olmalıdır.</w:t>
      </w:r>
    </w:p>
    <w:p w14:paraId="7E96A441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lastRenderedPageBreak/>
        <w:t xml:space="preserve">Master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Mix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,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20 µL reaksiyon hacmi gibi yaygın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qPCR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 reaksiyon hacimlerinde</w:t>
      </w:r>
      <w:r w:rsidRPr="00024DBD">
        <w:rPr>
          <w:rFonts w:ascii="Times New Roman" w:hAnsi="Times New Roman" w:cs="Times New Roman"/>
          <w:sz w:val="20"/>
          <w:szCs w:val="20"/>
        </w:rPr>
        <w:t xml:space="preserve"> kullanılabilmeli ve reaksiyon hacminin uygulamaya göre optimize edilmesine olanak sağlamalıdır.</w:t>
      </w:r>
    </w:p>
    <w:p w14:paraId="742859E8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Ürün, genomik DNA'nın yanı sıra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cDNA ve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miRNA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 kaynaklı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cDNA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template'leri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ile gerçekleştirilen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qPCR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uygulamalarında kullanılabilmelidir. Üretici,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miRNA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cDNA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template'leriyle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kullanımını açıkça belirtmektedir. </w:t>
      </w:r>
      <w:hyperlink r:id="rId9" w:history="1">
        <w:r w:rsidRPr="00024DBD">
          <w:rPr>
            <w:rStyle w:val="Kpr"/>
            <w:rFonts w:ascii="Times New Roman" w:hAnsi="Times New Roman" w:cs="Times New Roman"/>
            <w:sz w:val="20"/>
            <w:szCs w:val="20"/>
          </w:rPr>
          <w:t>abmgood.com</w:t>
        </w:r>
      </w:hyperlink>
    </w:p>
    <w:p w14:paraId="4B0E02B4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Ürün, farklı gen hedeflerinin kantitatif analizinde kullanılabilecek şekilde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>geniş uygulama alanına</w:t>
      </w:r>
      <w:r w:rsidRPr="00024DBD">
        <w:rPr>
          <w:rFonts w:ascii="Times New Roman" w:hAnsi="Times New Roman" w:cs="Times New Roman"/>
          <w:sz w:val="20"/>
          <w:szCs w:val="20"/>
        </w:rPr>
        <w:t xml:space="preserve"> sahip olmalıdır.</w:t>
      </w:r>
    </w:p>
    <w:p w14:paraId="738AA31B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Master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Mix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, düşük ekspresyon seviyesine sahip hedeflerin kantitatif olarak belirlenmesine olanak verecek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>yüksek analitik duyarlılık</w:t>
      </w:r>
      <w:r w:rsidRPr="00024DBD">
        <w:rPr>
          <w:rFonts w:ascii="Times New Roman" w:hAnsi="Times New Roman" w:cs="Times New Roman"/>
          <w:sz w:val="20"/>
          <w:szCs w:val="20"/>
        </w:rPr>
        <w:t xml:space="preserve"> sağlamalıdır.</w:t>
      </w:r>
    </w:p>
    <w:p w14:paraId="28A03C58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Reaksiyon bileşenlerinin önceden optimize edilmiş tek bir Master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Mix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içerisinde bulunması sayesinde pipetleme adımlarını azaltmalı ve böylece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>reaksiyon hazırlama kaynaklı kullanıcı hataları ile kontaminasyon riskini minimize etmelidir</w:t>
      </w:r>
      <w:r w:rsidRPr="00024DBD">
        <w:rPr>
          <w:rFonts w:ascii="Times New Roman" w:hAnsi="Times New Roman" w:cs="Times New Roman"/>
          <w:sz w:val="20"/>
          <w:szCs w:val="20"/>
        </w:rPr>
        <w:t>.</w:t>
      </w:r>
    </w:p>
    <w:p w14:paraId="2637C76C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Master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Mix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, ardışık çok sayıda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qPCR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reaksiyonunun kurulmasına uygun olacak şekilde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>homojen, stabil ve tekrarlanabilir reaksiyon performansı</w:t>
      </w:r>
      <w:r w:rsidRPr="00024DBD">
        <w:rPr>
          <w:rFonts w:ascii="Times New Roman" w:hAnsi="Times New Roman" w:cs="Times New Roman"/>
          <w:sz w:val="20"/>
          <w:szCs w:val="20"/>
        </w:rPr>
        <w:t xml:space="preserve"> sağlamalıdır.</w:t>
      </w:r>
    </w:p>
    <w:p w14:paraId="44EA50B4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Ürün, farklı hedefler ve örnek grupları arasında karşılaştırmalı kantitatif analiz yapılmasına uygun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tekrarlanabilir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Ct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>/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Cq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 değerleri ve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amplifikasyon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 performansı</w:t>
      </w:r>
      <w:r w:rsidRPr="00024DBD">
        <w:rPr>
          <w:rFonts w:ascii="Times New Roman" w:hAnsi="Times New Roman" w:cs="Times New Roman"/>
          <w:sz w:val="20"/>
          <w:szCs w:val="20"/>
        </w:rPr>
        <w:t xml:space="preserve"> sağlayacak şekilde formüle edilmiş olmalıdır.</w:t>
      </w:r>
    </w:p>
    <w:p w14:paraId="6C26D464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Master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Mix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qPCR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uygulamalarında gerekli reaksiyon koşullarının önceden optimize edilmiş olması sayesinde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>minimum ilave reaktif gerektiren hazır kullanım formatında</w:t>
      </w:r>
      <w:r w:rsidRPr="00024DBD">
        <w:rPr>
          <w:rFonts w:ascii="Times New Roman" w:hAnsi="Times New Roman" w:cs="Times New Roman"/>
          <w:sz w:val="20"/>
          <w:szCs w:val="20"/>
        </w:rPr>
        <w:t xml:space="preserve"> sunulmalıdır.</w:t>
      </w:r>
    </w:p>
    <w:p w14:paraId="28AEF9B7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Ürün, uygun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qPCR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cihazlarında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>standart ve hızlı (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fast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>) PCR çalışma protokollerine</w:t>
      </w:r>
      <w:r w:rsidRPr="00024DBD">
        <w:rPr>
          <w:rFonts w:ascii="Times New Roman" w:hAnsi="Times New Roman" w:cs="Times New Roman"/>
          <w:sz w:val="20"/>
          <w:szCs w:val="20"/>
        </w:rPr>
        <w:t xml:space="preserve"> uygun olmalıdır. </w:t>
      </w:r>
      <w:hyperlink r:id="rId10" w:history="1">
        <w:r w:rsidRPr="00024DBD">
          <w:rPr>
            <w:rStyle w:val="Kpr"/>
            <w:rFonts w:ascii="Times New Roman" w:hAnsi="Times New Roman" w:cs="Times New Roman"/>
            <w:sz w:val="20"/>
            <w:szCs w:val="20"/>
          </w:rPr>
          <w:t>abmgood.com</w:t>
        </w:r>
      </w:hyperlink>
    </w:p>
    <w:p w14:paraId="5BAE9ED8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DNA amplifikasyonu sonucunda oluşan PCR ürünlerinin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3′-dA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tailing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özelliğine sahip olması ve elde edilen </w:t>
      </w:r>
      <w:proofErr w:type="spellStart"/>
      <w:r w:rsidRPr="00024DBD">
        <w:rPr>
          <w:rFonts w:ascii="Times New Roman" w:hAnsi="Times New Roman" w:cs="Times New Roman"/>
          <w:sz w:val="20"/>
          <w:szCs w:val="20"/>
        </w:rPr>
        <w:t>amplikonların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uygun TA-klonlama sistemleriyle kullanılabilmesine olanak sağlaması tercih edilmektedir. </w:t>
      </w:r>
      <w:hyperlink r:id="rId11" w:history="1">
        <w:r w:rsidRPr="00024DBD">
          <w:rPr>
            <w:rStyle w:val="Kpr"/>
            <w:rFonts w:ascii="Times New Roman" w:hAnsi="Times New Roman" w:cs="Times New Roman"/>
            <w:sz w:val="20"/>
            <w:szCs w:val="20"/>
          </w:rPr>
          <w:t>abmgood.com</w:t>
        </w:r>
      </w:hyperlink>
    </w:p>
    <w:p w14:paraId="5510BB9B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Ürün, üretiminde ve kalite kontrolünde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>ISO 13485:2016 uyumlu kalite yönetim sistemi</w:t>
      </w:r>
      <w:r w:rsidRPr="00024DBD">
        <w:rPr>
          <w:rFonts w:ascii="Times New Roman" w:hAnsi="Times New Roman" w:cs="Times New Roman"/>
          <w:sz w:val="20"/>
          <w:szCs w:val="20"/>
        </w:rPr>
        <w:t xml:space="preserve"> altında üretilmiş olmalıdır veya üretici tarafından buna eşdeğer kalite güvence sistemi ile üretildiği belgelenebilmelidir. </w:t>
      </w:r>
      <w:hyperlink r:id="rId12" w:history="1">
        <w:r w:rsidRPr="00024DBD">
          <w:rPr>
            <w:rStyle w:val="Kpr"/>
            <w:rFonts w:ascii="Times New Roman" w:hAnsi="Times New Roman" w:cs="Times New Roman"/>
            <w:sz w:val="20"/>
            <w:szCs w:val="20"/>
          </w:rPr>
          <w:t>abmgood.com</w:t>
        </w:r>
      </w:hyperlink>
    </w:p>
    <w:p w14:paraId="7DF9FBCD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Ürün, üretici tarafından belirtilen koşullarda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>-20 °C'de saklanabilir</w:t>
      </w:r>
      <w:r w:rsidRPr="00024DBD">
        <w:rPr>
          <w:rFonts w:ascii="Times New Roman" w:hAnsi="Times New Roman" w:cs="Times New Roman"/>
          <w:sz w:val="20"/>
          <w:szCs w:val="20"/>
        </w:rPr>
        <w:t xml:space="preserve"> olmalı ve üretici tarafından uygun saklama ve kullanım koşullarında uzun süreli stabilitesi güvence altına alınmalıdır. </w:t>
      </w:r>
      <w:hyperlink r:id="rId13" w:history="1">
        <w:r w:rsidRPr="00024DBD">
          <w:rPr>
            <w:rStyle w:val="Kpr"/>
            <w:rFonts w:ascii="Times New Roman" w:hAnsi="Times New Roman" w:cs="Times New Roman"/>
            <w:sz w:val="20"/>
            <w:szCs w:val="20"/>
          </w:rPr>
          <w:t>abmgood.com</w:t>
        </w:r>
      </w:hyperlink>
    </w:p>
    <w:p w14:paraId="7A3DE726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Ürünün ambalajı, soğuk zincir koşullarında taşımaya uygun olmalı ve teslimat sırasında ürünün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>donmuş/stabil koşullarda muhafaza edilmesini</w:t>
      </w:r>
      <w:r w:rsidRPr="00024DBD">
        <w:rPr>
          <w:rFonts w:ascii="Times New Roman" w:hAnsi="Times New Roman" w:cs="Times New Roman"/>
          <w:sz w:val="20"/>
          <w:szCs w:val="20"/>
        </w:rPr>
        <w:t xml:space="preserve"> sağlayacak şekilde gerçekleştirilmelidir.</w:t>
      </w:r>
    </w:p>
    <w:p w14:paraId="33D98A6D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Ürün,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>tek kullanımlık reaksiyon miktarlarının hazırlanmasına uygun bölünmüş ambalaj</w:t>
      </w:r>
      <w:r w:rsidRPr="00024DBD">
        <w:rPr>
          <w:rFonts w:ascii="Times New Roman" w:hAnsi="Times New Roman" w:cs="Times New Roman"/>
          <w:sz w:val="20"/>
          <w:szCs w:val="20"/>
        </w:rPr>
        <w:t xml:space="preserve"> formatında sunulmalı; büyük hacimli tek bir şişe yerine kontaminasyon ve tekrarlı donma-çözülme riskini azaltacak şekilde birden fazla flakon içermelidir.</w:t>
      </w:r>
    </w:p>
    <w:p w14:paraId="3BA0478C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1 kutu ürün en az 500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reaksiyonluk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 kapasiteye sahip olmalı</w:t>
      </w:r>
      <w:r w:rsidRPr="00024DBD">
        <w:rPr>
          <w:rFonts w:ascii="Times New Roman" w:hAnsi="Times New Roman" w:cs="Times New Roman"/>
          <w:sz w:val="20"/>
          <w:szCs w:val="20"/>
        </w:rPr>
        <w:t xml:space="preserve"> ve tercihen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4 × 1,25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mL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 Master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Mix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şeklinde ambalajlanmalıdır. Ürün ile birlikte ayrıca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ROX Reference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Dye</w:t>
      </w:r>
      <w:proofErr w:type="spellEnd"/>
      <w:r w:rsidRPr="00024DBD">
        <w:rPr>
          <w:rFonts w:ascii="Times New Roman" w:hAnsi="Times New Roman" w:cs="Times New Roman"/>
          <w:sz w:val="20"/>
          <w:szCs w:val="20"/>
        </w:rPr>
        <w:t xml:space="preserve"> verilmelidir. </w:t>
      </w:r>
      <w:hyperlink r:id="rId14" w:history="1">
        <w:r w:rsidRPr="00024DBD">
          <w:rPr>
            <w:rStyle w:val="Kpr"/>
            <w:rFonts w:ascii="Times New Roman" w:hAnsi="Times New Roman" w:cs="Times New Roman"/>
            <w:sz w:val="20"/>
            <w:szCs w:val="20"/>
          </w:rPr>
          <w:t>abmgood.com</w:t>
        </w:r>
      </w:hyperlink>
    </w:p>
    <w:p w14:paraId="0EE5986F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Teslim edilen ürünün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>lot numarası, üretim tarihi, son kullanma tarihi ve saklama koşulları</w:t>
      </w:r>
      <w:r w:rsidRPr="00024DBD">
        <w:rPr>
          <w:rFonts w:ascii="Times New Roman" w:hAnsi="Times New Roman" w:cs="Times New Roman"/>
          <w:sz w:val="20"/>
          <w:szCs w:val="20"/>
        </w:rPr>
        <w:t xml:space="preserve"> ürün ambalajı üzerinde açıkça belirtilmiş olmalıdır.</w:t>
      </w:r>
    </w:p>
    <w:p w14:paraId="1915943F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Ürünle birlikte üretici tarafından düzenlenmiş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Certificate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 of Analysis (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CoA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Pr="00024DBD">
        <w:rPr>
          <w:rFonts w:ascii="Times New Roman" w:hAnsi="Times New Roman" w:cs="Times New Roman"/>
          <w:sz w:val="20"/>
          <w:szCs w:val="20"/>
        </w:rPr>
        <w:t xml:space="preserve"> sunulmalıdır.</w:t>
      </w:r>
    </w:p>
    <w:p w14:paraId="6BE4F805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Ürünle birlikte, gerektiğinde kalite kontrol amacıyla üretici tarafından sağlanan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>ürün teknik föyü/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datasheet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 ve güvenlik bilgi formu (SDS/MSDS)</w:t>
      </w:r>
      <w:r w:rsidRPr="00024DBD">
        <w:rPr>
          <w:rFonts w:ascii="Times New Roman" w:hAnsi="Times New Roman" w:cs="Times New Roman"/>
          <w:sz w:val="20"/>
          <w:szCs w:val="20"/>
        </w:rPr>
        <w:t xml:space="preserve"> sunulmalıdır.</w:t>
      </w:r>
    </w:p>
    <w:p w14:paraId="4A0BCE6D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lastRenderedPageBreak/>
        <w:t xml:space="preserve">Ürünün teslim tarihinde kalan raf ömrü, üretici tarafından belirtilen toplam raf ömrünün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>en az %75'i</w:t>
      </w:r>
      <w:r w:rsidRPr="00024DBD">
        <w:rPr>
          <w:rFonts w:ascii="Times New Roman" w:hAnsi="Times New Roman" w:cs="Times New Roman"/>
          <w:sz w:val="20"/>
          <w:szCs w:val="20"/>
        </w:rPr>
        <w:t xml:space="preserve"> kadar olmalıdır.</w:t>
      </w:r>
    </w:p>
    <w:p w14:paraId="41FB1A1E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Soğuk zincir gerektiren ürün olduğundan, ürünün nakliyesi ve teslimatı sırasında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>uygun sıcaklık koşulları korunmalı</w:t>
      </w:r>
      <w:r w:rsidRPr="00024DBD">
        <w:rPr>
          <w:rFonts w:ascii="Times New Roman" w:hAnsi="Times New Roman" w:cs="Times New Roman"/>
          <w:sz w:val="20"/>
          <w:szCs w:val="20"/>
        </w:rPr>
        <w:t>, ürün oda sıcaklığında uzun süre bekletilmemelidir.</w:t>
      </w:r>
    </w:p>
    <w:p w14:paraId="5925C7AA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Ürün,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>orijinal üretici ambalajında, açılmamış ve hasarsız</w:t>
      </w:r>
      <w:r w:rsidRPr="00024DBD">
        <w:rPr>
          <w:rFonts w:ascii="Times New Roman" w:hAnsi="Times New Roman" w:cs="Times New Roman"/>
          <w:sz w:val="20"/>
          <w:szCs w:val="20"/>
        </w:rPr>
        <w:t xml:space="preserve"> olarak teslim edilmelidir.</w:t>
      </w:r>
    </w:p>
    <w:p w14:paraId="1969ABA3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Teklif edilen ürünün teknik özellikleri üretici tarafından yayımlanmış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orijinal ürün kataloğu,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datasheet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 veya üretici web sayfası</w:t>
      </w:r>
      <w:r w:rsidRPr="00024DBD">
        <w:rPr>
          <w:rFonts w:ascii="Times New Roman" w:hAnsi="Times New Roman" w:cs="Times New Roman"/>
          <w:sz w:val="20"/>
          <w:szCs w:val="20"/>
        </w:rPr>
        <w:t xml:space="preserve"> ile doğrulanabilir olmalıdır.</w:t>
      </w:r>
    </w:p>
    <w:p w14:paraId="05EA4EC1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sz w:val="20"/>
          <w:szCs w:val="20"/>
        </w:rPr>
        <w:t xml:space="preserve">Teklif edilen ürünün teknik özelliklerinin şartnamede belirtilen tüm kriterleri karşıladığı, teklif aşamasında sunulacak </w:t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>teknik uygunluk dokümanı</w:t>
      </w:r>
      <w:r w:rsidRPr="00024DBD">
        <w:rPr>
          <w:rFonts w:ascii="Times New Roman" w:hAnsi="Times New Roman" w:cs="Times New Roman"/>
          <w:sz w:val="20"/>
          <w:szCs w:val="20"/>
        </w:rPr>
        <w:t xml:space="preserve"> ile açıkça gösterilmelidir.</w:t>
      </w:r>
    </w:p>
    <w:p w14:paraId="08DC00FB" w14:textId="77777777" w:rsidR="00024DBD" w:rsidRPr="00024DBD" w:rsidRDefault="00024DBD" w:rsidP="00024DBD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Master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Mix'in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 performansı;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amplifikasyon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 hızı, duyarlılık, işlem kapasitesi,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qPCR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 cihaz uyumluluğu, ROX referans sistemi ve tekrarlanabilirlik kriterlerinin tamamı birlikte değerlendirilerek</w:t>
      </w:r>
      <w:r w:rsidRPr="00024DBD">
        <w:rPr>
          <w:rFonts w:ascii="Times New Roman" w:hAnsi="Times New Roman" w:cs="Times New Roman"/>
          <w:sz w:val="20"/>
          <w:szCs w:val="20"/>
        </w:rPr>
        <w:t xml:space="preserve"> sağlanmalıdır.</w:t>
      </w:r>
    </w:p>
    <w:p w14:paraId="7B1E5FDE" w14:textId="77777777" w:rsidR="00024DBD" w:rsidRPr="00024DBD" w:rsidRDefault="00024DBD" w:rsidP="00024DBD">
      <w:pPr>
        <w:rPr>
          <w:rFonts w:ascii="Times New Roman" w:hAnsi="Times New Roman" w:cs="Times New Roman"/>
          <w:sz w:val="20"/>
          <w:szCs w:val="20"/>
        </w:rPr>
      </w:pPr>
      <w:r w:rsidRPr="00024DBD">
        <w:rPr>
          <w:rFonts w:ascii="Times New Roman" w:hAnsi="Times New Roman" w:cs="Times New Roman"/>
          <w:b/>
          <w:bCs/>
          <w:sz w:val="20"/>
          <w:szCs w:val="20"/>
        </w:rPr>
        <w:t>Ambalaj:</w:t>
      </w:r>
      <w:r w:rsidRPr="00024DBD">
        <w:rPr>
          <w:rFonts w:ascii="Times New Roman" w:hAnsi="Times New Roman" w:cs="Times New Roman"/>
          <w:sz w:val="20"/>
          <w:szCs w:val="20"/>
        </w:rPr>
        <w:br/>
      </w:r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500 reaksiyon/kutu; 4 × 1,25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mL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 2X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qPCR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MasterMix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 xml:space="preserve"> + ROX Reference </w:t>
      </w:r>
      <w:proofErr w:type="spellStart"/>
      <w:r w:rsidRPr="00024DBD">
        <w:rPr>
          <w:rFonts w:ascii="Times New Roman" w:hAnsi="Times New Roman" w:cs="Times New Roman"/>
          <w:b/>
          <w:bCs/>
          <w:sz w:val="20"/>
          <w:szCs w:val="20"/>
        </w:rPr>
        <w:t>Dye</w:t>
      </w:r>
      <w:proofErr w:type="spellEnd"/>
      <w:r w:rsidRPr="00024DBD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66FA320B" w14:textId="77777777" w:rsidR="00DB5F62" w:rsidRPr="00024DBD" w:rsidRDefault="00DB5F62" w:rsidP="00024DBD">
      <w:pPr>
        <w:rPr>
          <w:rFonts w:ascii="Times New Roman" w:hAnsi="Times New Roman" w:cs="Times New Roman"/>
          <w:sz w:val="20"/>
          <w:szCs w:val="20"/>
        </w:rPr>
      </w:pPr>
    </w:p>
    <w:sectPr w:rsidR="00DB5F62" w:rsidRPr="00024D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396A86"/>
    <w:multiLevelType w:val="multilevel"/>
    <w:tmpl w:val="C6926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F62"/>
    <w:rsid w:val="00024DBD"/>
    <w:rsid w:val="003C67C7"/>
    <w:rsid w:val="005E76FB"/>
    <w:rsid w:val="00952D34"/>
    <w:rsid w:val="00DB5F62"/>
    <w:rsid w:val="00EC4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01C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B5F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B5F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5F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B5F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B5F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B5F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B5F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B5F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B5F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B5F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B5F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B5F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B5F6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B5F6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B5F6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B5F6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B5F6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B5F6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B5F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B5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B5F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B5F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DB5F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DB5F6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B5F6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B5F62"/>
    <w:rPr>
      <w:i/>
      <w:iCs/>
      <w:color w:val="0F4761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DB5F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DB5F6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B5F62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024DBD"/>
    <w:rPr>
      <w:color w:val="467886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024DB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B5F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B5F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5F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B5F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B5F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B5F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B5F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B5F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B5F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B5F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B5F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B5F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B5F6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B5F6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B5F6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B5F6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B5F6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B5F6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B5F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B5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B5F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B5F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DB5F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DB5F6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B5F6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B5F62"/>
    <w:rPr>
      <w:i/>
      <w:iCs/>
      <w:color w:val="0F4761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DB5F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DB5F6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B5F62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024DBD"/>
    <w:rPr>
      <w:color w:val="467886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024D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bmgood.com/blastaq-2x-qpcr-mastermix.html" TargetMode="External"/><Relationship Id="rId13" Type="http://schemas.openxmlformats.org/officeDocument/2006/relationships/hyperlink" Target="https://www.abmgood.com/blastaq-2x-qpcr-mastermix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abmgood.com/blastaq-2x-qpcr-mastermix.html" TargetMode="External"/><Relationship Id="rId12" Type="http://schemas.openxmlformats.org/officeDocument/2006/relationships/hyperlink" Target="https://www.abmgood.com/blastaq-2x-qpcr-mastermix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abmgood.com/blastaq-2x-qpcr-mastermix.html" TargetMode="External"/><Relationship Id="rId11" Type="http://schemas.openxmlformats.org/officeDocument/2006/relationships/hyperlink" Target="https://www.abmgood.com/blastaq-2x-qpcr-mastermix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abmgood.com/blastaq-2x-qpcr-mastermix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bmgood.com/blastaq-2x-qpcr-mastermix.html" TargetMode="External"/><Relationship Id="rId14" Type="http://schemas.openxmlformats.org/officeDocument/2006/relationships/hyperlink" Target="https://www.abmgood.com/blastaq-2x-qpcr-mastermix.html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1185</Words>
  <Characters>6760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sefa erdogan</dc:creator>
  <cp:lastModifiedBy>pc25</cp:lastModifiedBy>
  <cp:revision>2</cp:revision>
  <dcterms:created xsi:type="dcterms:W3CDTF">2026-09-22T10:52:00Z</dcterms:created>
  <dcterms:modified xsi:type="dcterms:W3CDTF">2026-09-22T10:52:00Z</dcterms:modified>
</cp:coreProperties>
</file>