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82D88" w14:textId="77777777" w:rsidR="00925523" w:rsidRPr="00925523" w:rsidRDefault="00925523" w:rsidP="00925523">
      <w:pPr>
        <w:rPr>
          <w:b/>
          <w:bCs/>
        </w:rPr>
      </w:pPr>
      <w:r w:rsidRPr="00925523">
        <w:rPr>
          <w:b/>
          <w:bCs/>
        </w:rPr>
        <w:t>HCAM (CD44) – IM7 Antikoru Teknik Şartnamesi</w:t>
      </w:r>
    </w:p>
    <w:p w14:paraId="33CCB89F" w14:textId="77777777" w:rsidR="00D41DE5" w:rsidRDefault="00925523" w:rsidP="00D41DE5">
      <w:pPr>
        <w:numPr>
          <w:ilvl w:val="0"/>
          <w:numId w:val="1"/>
        </w:numPr>
      </w:pPr>
      <w:r w:rsidRPr="00925523">
        <w:t xml:space="preserve">Talep edilen ürün, </w:t>
      </w:r>
      <w:r w:rsidRPr="00925523">
        <w:rPr>
          <w:b/>
          <w:bCs/>
        </w:rPr>
        <w:t>HCAM (CD44 – Cell adhesion molecule)</w:t>
      </w:r>
      <w:r w:rsidRPr="00925523">
        <w:t xml:space="preserve"> proteinine karşı geliştirilmiş primer antikor olmalıdır. </w:t>
      </w:r>
    </w:p>
    <w:p w14:paraId="53222DD3" w14:textId="5E3F0C6E" w:rsidR="00925523" w:rsidRPr="00925523" w:rsidRDefault="00925523" w:rsidP="00D41DE5">
      <w:pPr>
        <w:numPr>
          <w:ilvl w:val="0"/>
          <w:numId w:val="1"/>
        </w:numPr>
      </w:pPr>
      <w:r w:rsidRPr="00925523">
        <w:t xml:space="preserve">Antikor: </w:t>
      </w:r>
      <w:r w:rsidRPr="00D41DE5">
        <w:rPr>
          <w:b/>
          <w:bCs/>
        </w:rPr>
        <w:t>Monoklonal</w:t>
      </w:r>
      <w:r w:rsidRPr="00925523">
        <w:t xml:space="preserve"> yapıda olmalı, </w:t>
      </w:r>
      <w:r w:rsidRPr="00D41DE5">
        <w:rPr>
          <w:b/>
          <w:bCs/>
        </w:rPr>
        <w:t>Rat (sıçan) kaynaklı</w:t>
      </w:r>
      <w:r w:rsidRPr="00925523">
        <w:t xml:space="preserve"> olmalıdır. </w:t>
      </w:r>
    </w:p>
    <w:p w14:paraId="1C96F514" w14:textId="77777777" w:rsidR="00D41DE5" w:rsidRDefault="00925523" w:rsidP="00D41DE5">
      <w:pPr>
        <w:numPr>
          <w:ilvl w:val="0"/>
          <w:numId w:val="1"/>
        </w:numPr>
      </w:pPr>
      <w:r w:rsidRPr="00925523">
        <w:t xml:space="preserve">Klon bilgisi: Antikor </w:t>
      </w:r>
      <w:r w:rsidRPr="00D41DE5">
        <w:rPr>
          <w:b/>
          <w:bCs/>
        </w:rPr>
        <w:t>IM7 klonu</w:t>
      </w:r>
      <w:r w:rsidRPr="00925523">
        <w:t xml:space="preserve"> olmalıdır. </w:t>
      </w:r>
    </w:p>
    <w:p w14:paraId="5ACD36F3" w14:textId="2E48093B" w:rsidR="00925523" w:rsidRPr="00925523" w:rsidRDefault="00925523" w:rsidP="00D41DE5">
      <w:pPr>
        <w:numPr>
          <w:ilvl w:val="0"/>
          <w:numId w:val="1"/>
        </w:numPr>
      </w:pPr>
      <w:r w:rsidRPr="00925523">
        <w:t xml:space="preserve">İzotip: </w:t>
      </w:r>
      <w:r w:rsidRPr="00D41DE5">
        <w:rPr>
          <w:b/>
          <w:bCs/>
        </w:rPr>
        <w:t>IgG2b</w:t>
      </w:r>
      <w:r w:rsidRPr="00925523">
        <w:t xml:space="preserve"> izotipinde olmalıdır. </w:t>
      </w:r>
    </w:p>
    <w:p w14:paraId="0DC1F0E1" w14:textId="77777777" w:rsidR="00925523" w:rsidRPr="00925523" w:rsidRDefault="00925523" w:rsidP="00925523">
      <w:pPr>
        <w:numPr>
          <w:ilvl w:val="0"/>
          <w:numId w:val="1"/>
        </w:numPr>
      </w:pPr>
      <w:r w:rsidRPr="00925523">
        <w:t xml:space="preserve">Antikorun hedef proteini: </w:t>
      </w:r>
    </w:p>
    <w:p w14:paraId="6442B117" w14:textId="77777777" w:rsidR="00925523" w:rsidRPr="00925523" w:rsidRDefault="00925523" w:rsidP="00D41DE5">
      <w:r w:rsidRPr="00925523">
        <w:rPr>
          <w:b/>
          <w:bCs/>
        </w:rPr>
        <w:t>CD44 / HCAM (Hyaluronan receptor)</w:t>
      </w:r>
      <w:r w:rsidRPr="00925523">
        <w:t xml:space="preserve"> olmalı, </w:t>
      </w:r>
    </w:p>
    <w:p w14:paraId="6D90B8E3" w14:textId="77777777" w:rsidR="00925523" w:rsidRPr="00925523" w:rsidRDefault="00925523" w:rsidP="00D41DE5">
      <w:r w:rsidRPr="00925523">
        <w:t xml:space="preserve">Yaklaşık </w:t>
      </w:r>
      <w:r w:rsidRPr="00925523">
        <w:rPr>
          <w:b/>
          <w:bCs/>
        </w:rPr>
        <w:t>90–95 kDa moleküler ağırlıkta protein</w:t>
      </w:r>
      <w:r w:rsidRPr="00925523">
        <w:t xml:space="preserve"> için validasyon verisi bulunmalıdır. </w:t>
      </w:r>
    </w:p>
    <w:p w14:paraId="6411CE21" w14:textId="77777777" w:rsidR="00925523" w:rsidRPr="00925523" w:rsidRDefault="00925523" w:rsidP="00925523">
      <w:pPr>
        <w:numPr>
          <w:ilvl w:val="0"/>
          <w:numId w:val="1"/>
        </w:numPr>
      </w:pPr>
      <w:r w:rsidRPr="00925523">
        <w:t xml:space="preserve">Ürün: </w:t>
      </w:r>
    </w:p>
    <w:p w14:paraId="1A1DB6F6" w14:textId="77777777" w:rsidR="00925523" w:rsidRPr="00925523" w:rsidRDefault="00925523" w:rsidP="00D41DE5">
      <w:r w:rsidRPr="00925523">
        <w:t xml:space="preserve">Saflaştırılmış (purified) formda olmalıdır, </w:t>
      </w:r>
    </w:p>
    <w:p w14:paraId="0100AF39" w14:textId="77777777" w:rsidR="00925523" w:rsidRPr="00925523" w:rsidRDefault="00925523" w:rsidP="00D41DE5">
      <w:r w:rsidRPr="00925523">
        <w:t xml:space="preserve">Konjuge içermeyen (unconjugated) form tercih edilmelidir (HRP vb. konjugatlı formlar alternatif olarak kabul edilebilir). </w:t>
      </w:r>
    </w:p>
    <w:p w14:paraId="124EC57F" w14:textId="77777777" w:rsidR="00925523" w:rsidRPr="00925523" w:rsidRDefault="00925523" w:rsidP="00925523">
      <w:pPr>
        <w:numPr>
          <w:ilvl w:val="0"/>
          <w:numId w:val="1"/>
        </w:numPr>
      </w:pPr>
      <w:r w:rsidRPr="00925523">
        <w:t xml:space="preserve">Antikor aşağıdaki uygulamalarda kullanılabilir olmalıdır: </w:t>
      </w:r>
    </w:p>
    <w:p w14:paraId="72FB5DEB" w14:textId="77777777" w:rsidR="00925523" w:rsidRPr="00925523" w:rsidRDefault="00925523" w:rsidP="00D41DE5">
      <w:pPr>
        <w:ind w:left="1440"/>
      </w:pPr>
      <w:r w:rsidRPr="00925523">
        <w:rPr>
          <w:b/>
          <w:bCs/>
        </w:rPr>
        <w:t>İmmünohistokimya (IHC)</w:t>
      </w:r>
      <w:r w:rsidRPr="00925523">
        <w:t xml:space="preserve"> </w:t>
      </w:r>
    </w:p>
    <w:p w14:paraId="304F0256" w14:textId="77777777" w:rsidR="00925523" w:rsidRPr="00925523" w:rsidRDefault="00925523" w:rsidP="00D41DE5">
      <w:pPr>
        <w:ind w:left="1440"/>
      </w:pPr>
      <w:r w:rsidRPr="00925523">
        <w:rPr>
          <w:b/>
          <w:bCs/>
        </w:rPr>
        <w:t>Parafin blok kesitlerde IHC (IHC-P)</w:t>
      </w:r>
      <w:r w:rsidRPr="00925523">
        <w:t xml:space="preserve"> </w:t>
      </w:r>
    </w:p>
    <w:p w14:paraId="62196625" w14:textId="77777777" w:rsidR="00925523" w:rsidRPr="00925523" w:rsidRDefault="00925523" w:rsidP="00D41DE5">
      <w:pPr>
        <w:ind w:left="1440"/>
      </w:pPr>
      <w:r w:rsidRPr="00925523">
        <w:t xml:space="preserve">Flow sitometri, immunofloresan ve Western blot validasyonları bulunması tercih sebebidir. </w:t>
      </w:r>
    </w:p>
    <w:p w14:paraId="03708F88" w14:textId="77777777" w:rsidR="00925523" w:rsidRPr="00925523" w:rsidRDefault="00925523" w:rsidP="00925523">
      <w:pPr>
        <w:numPr>
          <w:ilvl w:val="0"/>
          <w:numId w:val="1"/>
        </w:numPr>
      </w:pPr>
      <w:r w:rsidRPr="00925523">
        <w:t xml:space="preserve">Antikor: </w:t>
      </w:r>
    </w:p>
    <w:p w14:paraId="103F1213" w14:textId="77777777" w:rsidR="00925523" w:rsidRPr="00925523" w:rsidRDefault="00925523" w:rsidP="00D41DE5">
      <w:pPr>
        <w:ind w:left="1440"/>
      </w:pPr>
      <w:r w:rsidRPr="00925523">
        <w:rPr>
          <w:b/>
          <w:bCs/>
        </w:rPr>
        <w:t>Formalin ile tespit edilmiş, parafin bloklara gömülü dokularda (FFPE)</w:t>
      </w:r>
      <w:r w:rsidRPr="00925523">
        <w:t xml:space="preserve"> kullanılabilir olmalıdır. </w:t>
      </w:r>
    </w:p>
    <w:p w14:paraId="5EA5292F" w14:textId="77777777" w:rsidR="00925523" w:rsidRPr="00925523" w:rsidRDefault="00925523" w:rsidP="00D41DE5">
      <w:pPr>
        <w:ind w:left="1440"/>
      </w:pPr>
      <w:r w:rsidRPr="00925523">
        <w:t xml:space="preserve">Hücre membranı ağırlıklı olmak üzere sitoplazmik boyanma verebildiği gösterilmiş olmalıdır. </w:t>
      </w:r>
    </w:p>
    <w:p w14:paraId="0129D874" w14:textId="77777777" w:rsidR="00925523" w:rsidRPr="00925523" w:rsidRDefault="00925523" w:rsidP="00925523">
      <w:pPr>
        <w:numPr>
          <w:ilvl w:val="0"/>
          <w:numId w:val="1"/>
        </w:numPr>
      </w:pPr>
      <w:r w:rsidRPr="00925523">
        <w:t xml:space="preserve">Antijen geri kazanım (antigen retrieval): </w:t>
      </w:r>
    </w:p>
    <w:p w14:paraId="3D618E97" w14:textId="77777777" w:rsidR="00925523" w:rsidRPr="00925523" w:rsidRDefault="00925523" w:rsidP="00D41DE5">
      <w:pPr>
        <w:ind w:left="1440"/>
      </w:pPr>
      <w:r w:rsidRPr="00925523">
        <w:rPr>
          <w:b/>
          <w:bCs/>
        </w:rPr>
        <w:t>Isı ile antijen geri kazanım (HIER – Heat Induced Epitope Retrieval)</w:t>
      </w:r>
      <w:r w:rsidRPr="00925523">
        <w:t xml:space="preserve"> yöntemine uygun olmalıdır. </w:t>
      </w:r>
    </w:p>
    <w:p w14:paraId="62A81663" w14:textId="77777777" w:rsidR="00925523" w:rsidRPr="00925523" w:rsidRDefault="00925523" w:rsidP="00925523">
      <w:pPr>
        <w:numPr>
          <w:ilvl w:val="0"/>
          <w:numId w:val="1"/>
        </w:numPr>
      </w:pPr>
      <w:r w:rsidRPr="00925523">
        <w:t xml:space="preserve">Tür reaktivitesi: </w:t>
      </w:r>
    </w:p>
    <w:p w14:paraId="656FCFF8" w14:textId="77777777" w:rsidR="00925523" w:rsidRPr="00925523" w:rsidRDefault="00925523" w:rsidP="00925523">
      <w:pPr>
        <w:numPr>
          <w:ilvl w:val="0"/>
          <w:numId w:val="2"/>
        </w:numPr>
      </w:pPr>
      <w:r w:rsidRPr="00925523">
        <w:t xml:space="preserve">En azından </w:t>
      </w:r>
      <w:r w:rsidRPr="00925523">
        <w:rPr>
          <w:b/>
          <w:bCs/>
        </w:rPr>
        <w:t>insan, fare, sıçan, köpek (canine) ve kedi (feline)</w:t>
      </w:r>
      <w:r w:rsidRPr="00925523">
        <w:t xml:space="preserve"> dokularında reaktivitesi gösterilmiş olmalıdır. </w:t>
      </w:r>
    </w:p>
    <w:p w14:paraId="0D8A4E8A" w14:textId="77777777" w:rsidR="00925523" w:rsidRPr="00925523" w:rsidRDefault="00925523" w:rsidP="00925523">
      <w:pPr>
        <w:numPr>
          <w:ilvl w:val="0"/>
          <w:numId w:val="3"/>
        </w:numPr>
      </w:pPr>
      <w:r w:rsidRPr="00925523">
        <w:t xml:space="preserve">Konsantrasyon: </w:t>
      </w:r>
    </w:p>
    <w:p w14:paraId="0DF3B7C3" w14:textId="77777777" w:rsidR="00925523" w:rsidRPr="00925523" w:rsidRDefault="00925523" w:rsidP="00925523">
      <w:pPr>
        <w:numPr>
          <w:ilvl w:val="0"/>
          <w:numId w:val="4"/>
        </w:numPr>
      </w:pPr>
      <w:r w:rsidRPr="00925523">
        <w:lastRenderedPageBreak/>
        <w:t xml:space="preserve">Yaklaşık </w:t>
      </w:r>
      <w:r w:rsidRPr="00925523">
        <w:rPr>
          <w:b/>
          <w:bCs/>
        </w:rPr>
        <w:t>200 µg/mL</w:t>
      </w:r>
      <w:r w:rsidRPr="00925523">
        <w:t xml:space="preserve"> veya üretici tarafından belirtilmiş eşdeğer konsantrasyonda olmalıdır. </w:t>
      </w:r>
    </w:p>
    <w:p w14:paraId="59DD6D15" w14:textId="77777777" w:rsidR="00925523" w:rsidRPr="00925523" w:rsidRDefault="00925523" w:rsidP="00925523">
      <w:pPr>
        <w:numPr>
          <w:ilvl w:val="0"/>
          <w:numId w:val="5"/>
        </w:numPr>
      </w:pPr>
      <w:r w:rsidRPr="00925523">
        <w:t xml:space="preserve">Dilüsyon aralığı: </w:t>
      </w:r>
    </w:p>
    <w:p w14:paraId="1EAEB624" w14:textId="77777777" w:rsidR="00925523" w:rsidRPr="00925523" w:rsidRDefault="00925523" w:rsidP="00925523">
      <w:pPr>
        <w:numPr>
          <w:ilvl w:val="0"/>
          <w:numId w:val="6"/>
        </w:numPr>
      </w:pPr>
      <w:r w:rsidRPr="00925523">
        <w:t xml:space="preserve">İmmünohistokimya için önerilen dilüsyon aralığı yaklaşık </w:t>
      </w:r>
      <w:r w:rsidRPr="00925523">
        <w:rPr>
          <w:b/>
          <w:bCs/>
        </w:rPr>
        <w:t>1:50 – 1:500</w:t>
      </w:r>
      <w:r w:rsidRPr="00925523">
        <w:t xml:space="preserve"> olmalıdır. </w:t>
      </w:r>
    </w:p>
    <w:p w14:paraId="2F8E520E" w14:textId="77777777" w:rsidR="00925523" w:rsidRPr="00925523" w:rsidRDefault="00925523" w:rsidP="00925523">
      <w:pPr>
        <w:numPr>
          <w:ilvl w:val="0"/>
          <w:numId w:val="7"/>
        </w:numPr>
      </w:pPr>
      <w:r w:rsidRPr="00925523">
        <w:t xml:space="preserve">Saklama koşulları: </w:t>
      </w:r>
    </w:p>
    <w:p w14:paraId="01EEA7CD" w14:textId="77777777" w:rsidR="00925523" w:rsidRPr="00925523" w:rsidRDefault="00925523" w:rsidP="00925523">
      <w:pPr>
        <w:numPr>
          <w:ilvl w:val="0"/>
          <w:numId w:val="8"/>
        </w:numPr>
      </w:pPr>
      <w:r w:rsidRPr="00925523">
        <w:t xml:space="preserve">+4°C’de stabil olarak saklanabilir olmalı, </w:t>
      </w:r>
    </w:p>
    <w:p w14:paraId="3BA8063D" w14:textId="77777777" w:rsidR="00925523" w:rsidRPr="00925523" w:rsidRDefault="00925523" w:rsidP="00925523">
      <w:pPr>
        <w:numPr>
          <w:ilvl w:val="0"/>
          <w:numId w:val="8"/>
        </w:numPr>
      </w:pPr>
      <w:r w:rsidRPr="00925523">
        <w:t xml:space="preserve">Ürün dondurulmamalıdır (freeze edilmemelidir). </w:t>
      </w:r>
    </w:p>
    <w:p w14:paraId="380436CB" w14:textId="77777777" w:rsidR="00925523" w:rsidRPr="00925523" w:rsidRDefault="00925523" w:rsidP="00925523">
      <w:pPr>
        <w:numPr>
          <w:ilvl w:val="0"/>
          <w:numId w:val="9"/>
        </w:numPr>
      </w:pPr>
      <w:r w:rsidRPr="00925523">
        <w:t xml:space="preserve">Raf ömrü: </w:t>
      </w:r>
    </w:p>
    <w:p w14:paraId="14B6D20E" w14:textId="77777777" w:rsidR="00925523" w:rsidRPr="00925523" w:rsidRDefault="00925523" w:rsidP="00925523">
      <w:pPr>
        <w:numPr>
          <w:ilvl w:val="0"/>
          <w:numId w:val="10"/>
        </w:numPr>
      </w:pPr>
      <w:r w:rsidRPr="00925523">
        <w:t xml:space="preserve">Teslim tarihinden itibaren </w:t>
      </w:r>
      <w:r w:rsidRPr="00925523">
        <w:rPr>
          <w:b/>
          <w:bCs/>
        </w:rPr>
        <w:t>en az 24 ay kullanım ömrüne sahip olmalıdır</w:t>
      </w:r>
      <w:r w:rsidRPr="00925523">
        <w:t xml:space="preserve">. </w:t>
      </w:r>
    </w:p>
    <w:p w14:paraId="44A5216D" w14:textId="77777777" w:rsidR="00925523" w:rsidRPr="00925523" w:rsidRDefault="00925523" w:rsidP="00925523">
      <w:pPr>
        <w:numPr>
          <w:ilvl w:val="0"/>
          <w:numId w:val="11"/>
        </w:numPr>
      </w:pPr>
      <w:r w:rsidRPr="00925523">
        <w:t xml:space="preserve">Ürün: </w:t>
      </w:r>
    </w:p>
    <w:p w14:paraId="0E00313C" w14:textId="77777777" w:rsidR="00925523" w:rsidRPr="00925523" w:rsidRDefault="00925523" w:rsidP="00925523">
      <w:pPr>
        <w:numPr>
          <w:ilvl w:val="0"/>
          <w:numId w:val="12"/>
        </w:numPr>
      </w:pPr>
      <w:r w:rsidRPr="00925523">
        <w:t xml:space="preserve">Araştırma amaçlı kullanım (RUO) için uygun olmalıdır. </w:t>
      </w:r>
    </w:p>
    <w:p w14:paraId="386D8E15" w14:textId="77777777" w:rsidR="00925523" w:rsidRPr="00925523" w:rsidRDefault="00925523" w:rsidP="00925523">
      <w:pPr>
        <w:numPr>
          <w:ilvl w:val="0"/>
          <w:numId w:val="13"/>
        </w:numPr>
      </w:pPr>
      <w:r w:rsidRPr="00925523">
        <w:t xml:space="preserve">Tedarik: </w:t>
      </w:r>
    </w:p>
    <w:p w14:paraId="5DF099D0" w14:textId="77777777" w:rsidR="00925523" w:rsidRPr="00925523" w:rsidRDefault="00925523" w:rsidP="00925523">
      <w:pPr>
        <w:numPr>
          <w:ilvl w:val="0"/>
          <w:numId w:val="14"/>
        </w:numPr>
      </w:pPr>
      <w:r w:rsidRPr="00925523">
        <w:t xml:space="preserve">Ürün, </w:t>
      </w:r>
      <w:r w:rsidRPr="00925523">
        <w:rPr>
          <w:b/>
          <w:bCs/>
        </w:rPr>
        <w:t>orijinal üretici ambalajında</w:t>
      </w:r>
      <w:r w:rsidRPr="00925523">
        <w:t>, lot numarası ve analiz sertifikası (CoA) ile birlikte teslim edilmelidir.</w:t>
      </w:r>
    </w:p>
    <w:p w14:paraId="313E1A1E" w14:textId="77777777" w:rsidR="002A29A5" w:rsidRDefault="002A29A5"/>
    <w:sectPr w:rsidR="002A2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517"/>
    <w:multiLevelType w:val="multilevel"/>
    <w:tmpl w:val="05A4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E70FE"/>
    <w:multiLevelType w:val="multilevel"/>
    <w:tmpl w:val="FC0E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42E32"/>
    <w:multiLevelType w:val="multilevel"/>
    <w:tmpl w:val="BE3C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078E2"/>
    <w:multiLevelType w:val="multilevel"/>
    <w:tmpl w:val="AB74EC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64D06"/>
    <w:multiLevelType w:val="multilevel"/>
    <w:tmpl w:val="2DCE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D3C81"/>
    <w:multiLevelType w:val="multilevel"/>
    <w:tmpl w:val="E390B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377FB"/>
    <w:multiLevelType w:val="multilevel"/>
    <w:tmpl w:val="575C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25061"/>
    <w:multiLevelType w:val="multilevel"/>
    <w:tmpl w:val="99A6DA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CB7FA4"/>
    <w:multiLevelType w:val="multilevel"/>
    <w:tmpl w:val="32FE82A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5F2A4E"/>
    <w:multiLevelType w:val="multilevel"/>
    <w:tmpl w:val="4DE8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8B4E53"/>
    <w:multiLevelType w:val="multilevel"/>
    <w:tmpl w:val="F78A20B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B52AD9"/>
    <w:multiLevelType w:val="multilevel"/>
    <w:tmpl w:val="1B48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8596B"/>
    <w:multiLevelType w:val="multilevel"/>
    <w:tmpl w:val="371226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51609E"/>
    <w:multiLevelType w:val="multilevel"/>
    <w:tmpl w:val="A37C3D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3498748">
    <w:abstractNumId w:val="5"/>
  </w:num>
  <w:num w:numId="2" w16cid:durableId="789780075">
    <w:abstractNumId w:val="0"/>
  </w:num>
  <w:num w:numId="3" w16cid:durableId="84346818">
    <w:abstractNumId w:val="7"/>
  </w:num>
  <w:num w:numId="4" w16cid:durableId="1428043968">
    <w:abstractNumId w:val="9"/>
  </w:num>
  <w:num w:numId="5" w16cid:durableId="1601794782">
    <w:abstractNumId w:val="12"/>
  </w:num>
  <w:num w:numId="6" w16cid:durableId="644355533">
    <w:abstractNumId w:val="1"/>
  </w:num>
  <w:num w:numId="7" w16cid:durableId="1068919428">
    <w:abstractNumId w:val="13"/>
  </w:num>
  <w:num w:numId="8" w16cid:durableId="553933820">
    <w:abstractNumId w:val="2"/>
  </w:num>
  <w:num w:numId="9" w16cid:durableId="779836725">
    <w:abstractNumId w:val="3"/>
  </w:num>
  <w:num w:numId="10" w16cid:durableId="1315139820">
    <w:abstractNumId w:val="4"/>
  </w:num>
  <w:num w:numId="11" w16cid:durableId="232854334">
    <w:abstractNumId w:val="10"/>
  </w:num>
  <w:num w:numId="12" w16cid:durableId="1917323479">
    <w:abstractNumId w:val="11"/>
  </w:num>
  <w:num w:numId="13" w16cid:durableId="1802646755">
    <w:abstractNumId w:val="8"/>
  </w:num>
  <w:num w:numId="14" w16cid:durableId="3196976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B0"/>
    <w:rsid w:val="002A29A5"/>
    <w:rsid w:val="003E5088"/>
    <w:rsid w:val="007C6BB0"/>
    <w:rsid w:val="00925523"/>
    <w:rsid w:val="00997E83"/>
    <w:rsid w:val="00A61F82"/>
    <w:rsid w:val="00D4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6588"/>
  <w15:chartTrackingRefBased/>
  <w15:docId w15:val="{95A018B1-91A7-4759-9DF7-D11339BF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</dc:creator>
  <cp:keywords/>
  <dc:description/>
  <cp:lastModifiedBy>fatih</cp:lastModifiedBy>
  <cp:revision>4</cp:revision>
  <dcterms:created xsi:type="dcterms:W3CDTF">2026-04-13T11:25:00Z</dcterms:created>
  <dcterms:modified xsi:type="dcterms:W3CDTF">2026-04-13T11:43:00Z</dcterms:modified>
</cp:coreProperties>
</file>