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E4" w:rsidRPr="00175DE4" w:rsidRDefault="00175DE4" w:rsidP="00175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lang w:eastAsia="tr-TR"/>
        </w:rPr>
      </w:pPr>
      <w:proofErr w:type="spellStart"/>
      <w:r w:rsidRPr="00175DE4">
        <w:rPr>
          <w:rFonts w:ascii="Times New Roman" w:eastAsia="Times New Roman" w:hAnsi="Times New Roman" w:cs="Times New Roman"/>
          <w:b/>
          <w:color w:val="222222"/>
          <w:lang w:eastAsia="tr-TR"/>
        </w:rPr>
        <w:t>cDNA</w:t>
      </w:r>
      <w:proofErr w:type="spellEnd"/>
      <w:r w:rsidRPr="00175DE4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SENTEZ KİTİ TEKNİK ÖZELLİKLER</w:t>
      </w:r>
    </w:p>
    <w:p w:rsidR="00175DE4" w:rsidRPr="00175DE4" w:rsidRDefault="00175DE4" w:rsidP="00175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175DE4" w:rsidRPr="00175DE4" w:rsidRDefault="00175DE4" w:rsidP="00175DE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RNA’dan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cDNA</w:t>
      </w:r>
      <w:proofErr w:type="spell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 sentez işlemini gerçekleştirmelidir.</w:t>
      </w:r>
    </w:p>
    <w:p w:rsidR="00175DE4" w:rsidRPr="00175DE4" w:rsidRDefault="00175DE4" w:rsidP="00175DE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Düşük miktardaki (100fg - 1 µg ) RNA ile işlem yapmaya uygun olmalıdır.</w:t>
      </w:r>
    </w:p>
    <w:p w:rsidR="00175DE4" w:rsidRPr="00175DE4" w:rsidRDefault="00175DE4" w:rsidP="00175DE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Seyreltik RNA numuneleri ile çalışmak için 5x </w:t>
      </w:r>
      <w:proofErr w:type="gram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konsantrasyonunda</w:t>
      </w:r>
      <w:proofErr w:type="gram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 olmalı böylece daha fazla RNA numunesi reaksiyona konabilmelidir.</w:t>
      </w:r>
    </w:p>
    <w:p w:rsidR="00175DE4" w:rsidRPr="00175DE4" w:rsidRDefault="00175DE4" w:rsidP="00175DE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20ul hacimde en az 200 reaksiyon gerçekleştirilebilmelidir.</w:t>
      </w:r>
    </w:p>
    <w:p w:rsidR="00175DE4" w:rsidRPr="00175DE4" w:rsidRDefault="00175DE4" w:rsidP="00175DE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 –20ºC  de Saklanmalıdır.</w:t>
      </w:r>
    </w:p>
    <w:p w:rsidR="00175DE4" w:rsidRPr="00175DE4" w:rsidRDefault="00175DE4" w:rsidP="00175DE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Reaksiyon süresi En fazla 26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dk</w:t>
      </w:r>
      <w:proofErr w:type="spell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 olmalıdır.</w:t>
      </w:r>
    </w:p>
    <w:p w:rsidR="00175DE4" w:rsidRPr="00175DE4" w:rsidRDefault="00175DE4" w:rsidP="00175DE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Kit içeriği  4 x 100 µl of 5x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supermix</w:t>
      </w:r>
      <w:proofErr w:type="spell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,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contains</w:t>
      </w:r>
      <w:proofErr w:type="spell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reverse</w:t>
      </w:r>
      <w:proofErr w:type="spell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transcriptase</w:t>
      </w:r>
      <w:proofErr w:type="spell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,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RNase</w:t>
      </w:r>
      <w:proofErr w:type="spell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inhibitor</w:t>
      </w:r>
      <w:proofErr w:type="spell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,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dNTPs</w:t>
      </w:r>
      <w:proofErr w:type="spell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,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primers</w:t>
      </w:r>
      <w:proofErr w:type="spellEnd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 xml:space="preserve">, MgCl2, </w:t>
      </w:r>
      <w:proofErr w:type="spellStart"/>
      <w:r w:rsidRPr="00175DE4">
        <w:rPr>
          <w:rFonts w:ascii="Times New Roman" w:eastAsia="Times New Roman" w:hAnsi="Times New Roman" w:cs="Times New Roman"/>
          <w:color w:val="222222"/>
          <w:lang w:eastAsia="tr-TR"/>
        </w:rPr>
        <w:t>stabilizers</w:t>
      </w:r>
      <w:proofErr w:type="spellEnd"/>
    </w:p>
    <w:p w:rsidR="009C7F07" w:rsidRPr="00175DE4" w:rsidRDefault="00175DE4" w:rsidP="00175DE4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75DE4" w:rsidRDefault="00175DE4" w:rsidP="00175DE4">
      <w:pPr>
        <w:spacing w:line="240" w:lineRule="auto"/>
        <w:jc w:val="both"/>
        <w:rPr>
          <w:rFonts w:ascii="Times New Roman" w:hAnsi="Times New Roman" w:cs="Times New Roman"/>
        </w:rPr>
      </w:pPr>
    </w:p>
    <w:p w:rsidR="00175DE4" w:rsidRPr="00175DE4" w:rsidRDefault="00175DE4" w:rsidP="00175DE4">
      <w:pPr>
        <w:spacing w:line="240" w:lineRule="auto"/>
        <w:jc w:val="both"/>
        <w:rPr>
          <w:rFonts w:ascii="Times New Roman" w:hAnsi="Times New Roman" w:cs="Times New Roman"/>
        </w:rPr>
      </w:pPr>
    </w:p>
    <w:p w:rsidR="00175DE4" w:rsidRPr="00175DE4" w:rsidRDefault="00175DE4" w:rsidP="00175DE4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175DE4">
        <w:rPr>
          <w:rFonts w:ascii="Times New Roman" w:eastAsia="Calibri" w:hAnsi="Times New Roman" w:cs="Times New Roman"/>
          <w:b/>
        </w:rPr>
        <w:t>PCR MASTER MİX TEKNİK ÖZELLİKLER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proofErr w:type="spellStart"/>
      <w:r w:rsidRPr="00175DE4">
        <w:rPr>
          <w:rFonts w:ascii="Times New Roman" w:eastAsia="Calibri" w:hAnsi="Times New Roman" w:cs="Times New Roman"/>
        </w:rPr>
        <w:t>Taq</w:t>
      </w:r>
      <w:proofErr w:type="spellEnd"/>
      <w:r w:rsidRPr="00175DE4">
        <w:rPr>
          <w:rFonts w:ascii="Times New Roman" w:eastAsia="Calibri" w:hAnsi="Times New Roman" w:cs="Times New Roman"/>
        </w:rPr>
        <w:t xml:space="preserve"> DNA </w:t>
      </w:r>
      <w:proofErr w:type="spellStart"/>
      <w:r w:rsidRPr="00175DE4">
        <w:rPr>
          <w:rFonts w:ascii="Times New Roman" w:eastAsia="Calibri" w:hAnsi="Times New Roman" w:cs="Times New Roman"/>
        </w:rPr>
        <w:t>Polimeraz</w:t>
      </w:r>
      <w:proofErr w:type="spellEnd"/>
      <w:r w:rsidRPr="00175DE4">
        <w:rPr>
          <w:rFonts w:ascii="Times New Roman" w:eastAsia="Calibri" w:hAnsi="Times New Roman" w:cs="Times New Roman"/>
        </w:rPr>
        <w:t xml:space="preserve"> Master </w:t>
      </w:r>
      <w:proofErr w:type="spellStart"/>
      <w:r w:rsidRPr="00175DE4">
        <w:rPr>
          <w:rFonts w:ascii="Times New Roman" w:eastAsia="Calibri" w:hAnsi="Times New Roman" w:cs="Times New Roman"/>
        </w:rPr>
        <w:t>Mix'in</w:t>
      </w:r>
      <w:proofErr w:type="spellEnd"/>
      <w:r w:rsidRPr="00175DE4">
        <w:rPr>
          <w:rFonts w:ascii="Times New Roman" w:eastAsia="Calibri" w:hAnsi="Times New Roman" w:cs="Times New Roman"/>
        </w:rPr>
        <w:t xml:space="preserve"> optimize edilmiş bir formatı olmalıdır.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>Master mix, standart PCR uygulamaları, tarama ve yüksek verim testi için uygun olmalıdır.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 xml:space="preserve">Master mix, </w:t>
      </w:r>
      <w:proofErr w:type="spellStart"/>
      <w:r w:rsidRPr="00175DE4">
        <w:rPr>
          <w:rFonts w:ascii="Times New Roman" w:eastAsia="Calibri" w:hAnsi="Times New Roman" w:cs="Times New Roman"/>
        </w:rPr>
        <w:t>Ampliqon</w:t>
      </w:r>
      <w:proofErr w:type="spellEnd"/>
      <w:r w:rsidRPr="00175DE4">
        <w:rPr>
          <w:rFonts w:ascii="Times New Roman" w:eastAsia="Calibri" w:hAnsi="Times New Roman" w:cs="Times New Roman"/>
        </w:rPr>
        <w:t xml:space="preserve"> </w:t>
      </w:r>
      <w:proofErr w:type="spellStart"/>
      <w:r w:rsidRPr="00175DE4">
        <w:rPr>
          <w:rFonts w:ascii="Times New Roman" w:eastAsia="Calibri" w:hAnsi="Times New Roman" w:cs="Times New Roman"/>
        </w:rPr>
        <w:t>Taq</w:t>
      </w:r>
      <w:proofErr w:type="spellEnd"/>
      <w:r w:rsidRPr="00175DE4">
        <w:rPr>
          <w:rFonts w:ascii="Times New Roman" w:eastAsia="Calibri" w:hAnsi="Times New Roman" w:cs="Times New Roman"/>
        </w:rPr>
        <w:t xml:space="preserve"> DNA </w:t>
      </w:r>
      <w:proofErr w:type="spellStart"/>
      <w:r w:rsidRPr="00175DE4">
        <w:rPr>
          <w:rFonts w:ascii="Times New Roman" w:eastAsia="Calibri" w:hAnsi="Times New Roman" w:cs="Times New Roman"/>
        </w:rPr>
        <w:t>polimerazdan</w:t>
      </w:r>
      <w:proofErr w:type="spellEnd"/>
      <w:r w:rsidRPr="00175DE4">
        <w:rPr>
          <w:rFonts w:ascii="Times New Roman" w:eastAsia="Calibri" w:hAnsi="Times New Roman" w:cs="Times New Roman"/>
        </w:rPr>
        <w:t xml:space="preserve"> ve </w:t>
      </w:r>
      <w:proofErr w:type="spellStart"/>
      <w:r w:rsidRPr="00175DE4">
        <w:rPr>
          <w:rFonts w:ascii="Times New Roman" w:eastAsia="Calibri" w:hAnsi="Times New Roman" w:cs="Times New Roman"/>
        </w:rPr>
        <w:t>dNTP'ler</w:t>
      </w:r>
      <w:proofErr w:type="spellEnd"/>
      <w:r w:rsidRPr="00175DE4">
        <w:rPr>
          <w:rFonts w:ascii="Times New Roman" w:eastAsia="Calibri" w:hAnsi="Times New Roman" w:cs="Times New Roman"/>
        </w:rPr>
        <w:t xml:space="preserve"> ve magnezyum klorür içeren optimize edilmiş bir tampon sisteminden oluşmalıdır.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 xml:space="preserve">Son Mgcl2 derişimi 1.5 </w:t>
      </w:r>
      <w:proofErr w:type="spellStart"/>
      <w:r w:rsidRPr="00175DE4">
        <w:rPr>
          <w:rFonts w:ascii="Times New Roman" w:eastAsia="Calibri" w:hAnsi="Times New Roman" w:cs="Times New Roman"/>
        </w:rPr>
        <w:t>mM</w:t>
      </w:r>
      <w:proofErr w:type="spellEnd"/>
      <w:r w:rsidRPr="00175DE4">
        <w:rPr>
          <w:rFonts w:ascii="Times New Roman" w:eastAsia="Calibri" w:hAnsi="Times New Roman" w:cs="Times New Roman"/>
        </w:rPr>
        <w:t xml:space="preserve"> olmalıdır.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>100 reaksiyon için yeterli olmalıdır ve paket içeriğinde 2 adet 1.25ml mix içeren tüp bulunmalıdır.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 xml:space="preserve">Ürün içeriği: </w:t>
      </w:r>
      <w:proofErr w:type="spellStart"/>
      <w:r w:rsidRPr="00175DE4">
        <w:rPr>
          <w:rFonts w:ascii="Times New Roman" w:eastAsia="Calibri" w:hAnsi="Times New Roman" w:cs="Times New Roman"/>
        </w:rPr>
        <w:t>Tris-HCl</w:t>
      </w:r>
      <w:proofErr w:type="spellEnd"/>
      <w:r w:rsidRPr="00175DE4">
        <w:rPr>
          <w:rFonts w:ascii="Times New Roman" w:eastAsia="Calibri" w:hAnsi="Times New Roman" w:cs="Times New Roman"/>
        </w:rPr>
        <w:t xml:space="preserve"> </w:t>
      </w:r>
      <w:proofErr w:type="spellStart"/>
      <w:r w:rsidRPr="00175DE4">
        <w:rPr>
          <w:rFonts w:ascii="Times New Roman" w:eastAsia="Calibri" w:hAnsi="Times New Roman" w:cs="Times New Roman"/>
        </w:rPr>
        <w:t>pH</w:t>
      </w:r>
      <w:proofErr w:type="spellEnd"/>
      <w:r w:rsidRPr="00175DE4">
        <w:rPr>
          <w:rFonts w:ascii="Times New Roman" w:eastAsia="Calibri" w:hAnsi="Times New Roman" w:cs="Times New Roman"/>
        </w:rPr>
        <w:t xml:space="preserve"> 8.5, (NH4)2S04, 3 </w:t>
      </w:r>
      <w:proofErr w:type="spellStart"/>
      <w:r w:rsidRPr="00175DE4">
        <w:rPr>
          <w:rFonts w:ascii="Times New Roman" w:eastAsia="Calibri" w:hAnsi="Times New Roman" w:cs="Times New Roman"/>
        </w:rPr>
        <w:t>mM</w:t>
      </w:r>
      <w:proofErr w:type="spellEnd"/>
      <w:r w:rsidRPr="00175DE4">
        <w:rPr>
          <w:rFonts w:ascii="Times New Roman" w:eastAsia="Calibri" w:hAnsi="Times New Roman" w:cs="Times New Roman"/>
        </w:rPr>
        <w:t xml:space="preserve"> MgCl2, 0.2% </w:t>
      </w:r>
      <w:proofErr w:type="spellStart"/>
      <w:r w:rsidRPr="00175DE4">
        <w:rPr>
          <w:rFonts w:ascii="Times New Roman" w:eastAsia="Calibri" w:hAnsi="Times New Roman" w:cs="Times New Roman"/>
        </w:rPr>
        <w:t>Tween</w:t>
      </w:r>
      <w:proofErr w:type="spellEnd"/>
      <w:r w:rsidRPr="00175DE4">
        <w:rPr>
          <w:rFonts w:ascii="Times New Roman" w:eastAsia="Calibri" w:hAnsi="Times New Roman" w:cs="Times New Roman"/>
        </w:rPr>
        <w:t xml:space="preserve"> 20, 0.4 </w:t>
      </w:r>
      <w:proofErr w:type="spellStart"/>
      <w:r w:rsidRPr="00175DE4">
        <w:rPr>
          <w:rFonts w:ascii="Times New Roman" w:eastAsia="Calibri" w:hAnsi="Times New Roman" w:cs="Times New Roman"/>
        </w:rPr>
        <w:t>mM</w:t>
      </w:r>
      <w:proofErr w:type="spellEnd"/>
      <w:r w:rsidRPr="00175DE4">
        <w:rPr>
          <w:rFonts w:ascii="Times New Roman" w:eastAsia="Calibri" w:hAnsi="Times New Roman" w:cs="Times New Roman"/>
        </w:rPr>
        <w:t xml:space="preserve"> of </w:t>
      </w:r>
      <w:proofErr w:type="spellStart"/>
      <w:r w:rsidRPr="00175DE4">
        <w:rPr>
          <w:rFonts w:ascii="Times New Roman" w:eastAsia="Calibri" w:hAnsi="Times New Roman" w:cs="Times New Roman"/>
        </w:rPr>
        <w:t>each</w:t>
      </w:r>
      <w:proofErr w:type="spellEnd"/>
      <w:r w:rsidRPr="00175DE4">
        <w:rPr>
          <w:rFonts w:ascii="Times New Roman" w:eastAsia="Calibri" w:hAnsi="Times New Roman" w:cs="Times New Roman"/>
        </w:rPr>
        <w:t xml:space="preserve"> </w:t>
      </w:r>
      <w:proofErr w:type="spellStart"/>
      <w:r w:rsidRPr="00175DE4">
        <w:rPr>
          <w:rFonts w:ascii="Times New Roman" w:eastAsia="Calibri" w:hAnsi="Times New Roman" w:cs="Times New Roman"/>
        </w:rPr>
        <w:t>dNTP</w:t>
      </w:r>
      <w:proofErr w:type="spellEnd"/>
      <w:r w:rsidRPr="00175DE4">
        <w:rPr>
          <w:rFonts w:ascii="Times New Roman" w:eastAsia="Calibri" w:hAnsi="Times New Roman" w:cs="Times New Roman"/>
        </w:rPr>
        <w:t xml:space="preserve">, 0.08 </w:t>
      </w:r>
      <w:proofErr w:type="spellStart"/>
      <w:r w:rsidRPr="00175DE4">
        <w:rPr>
          <w:rFonts w:ascii="Times New Roman" w:eastAsia="Calibri" w:hAnsi="Times New Roman" w:cs="Times New Roman"/>
        </w:rPr>
        <w:t>units</w:t>
      </w:r>
      <w:proofErr w:type="spellEnd"/>
      <w:r w:rsidRPr="00175DE4">
        <w:rPr>
          <w:rFonts w:ascii="Times New Roman" w:eastAsia="Calibri" w:hAnsi="Times New Roman" w:cs="Times New Roman"/>
        </w:rPr>
        <w:t xml:space="preserve">/µl </w:t>
      </w:r>
      <w:proofErr w:type="spellStart"/>
      <w:r w:rsidRPr="00175DE4">
        <w:rPr>
          <w:rFonts w:ascii="Times New Roman" w:eastAsia="Calibri" w:hAnsi="Times New Roman" w:cs="Times New Roman"/>
        </w:rPr>
        <w:t>Ampliqon</w:t>
      </w:r>
      <w:proofErr w:type="spellEnd"/>
      <w:r w:rsidRPr="00175DE4">
        <w:rPr>
          <w:rFonts w:ascii="Times New Roman" w:eastAsia="Calibri" w:hAnsi="Times New Roman" w:cs="Times New Roman"/>
        </w:rPr>
        <w:t xml:space="preserve"> </w:t>
      </w:r>
      <w:proofErr w:type="spellStart"/>
      <w:r w:rsidRPr="00175DE4">
        <w:rPr>
          <w:rFonts w:ascii="Times New Roman" w:eastAsia="Calibri" w:hAnsi="Times New Roman" w:cs="Times New Roman"/>
        </w:rPr>
        <w:t>Taq</w:t>
      </w:r>
      <w:proofErr w:type="spellEnd"/>
      <w:r w:rsidRPr="00175DE4">
        <w:rPr>
          <w:rFonts w:ascii="Times New Roman" w:eastAsia="Calibri" w:hAnsi="Times New Roman" w:cs="Times New Roman"/>
        </w:rPr>
        <w:t xml:space="preserve"> DNA </w:t>
      </w:r>
      <w:proofErr w:type="spellStart"/>
      <w:r w:rsidRPr="00175DE4">
        <w:rPr>
          <w:rFonts w:ascii="Times New Roman" w:eastAsia="Calibri" w:hAnsi="Times New Roman" w:cs="Times New Roman"/>
        </w:rPr>
        <w:t>polymerase</w:t>
      </w:r>
      <w:proofErr w:type="spellEnd"/>
      <w:r w:rsidRPr="00175DE4">
        <w:rPr>
          <w:rFonts w:ascii="Times New Roman" w:eastAsia="Calibri" w:hAnsi="Times New Roman" w:cs="Times New Roman"/>
        </w:rPr>
        <w:t xml:space="preserve">, </w:t>
      </w:r>
      <w:proofErr w:type="spellStart"/>
      <w:r w:rsidRPr="00175DE4">
        <w:rPr>
          <w:rFonts w:ascii="Times New Roman" w:eastAsia="Calibri" w:hAnsi="Times New Roman" w:cs="Times New Roman"/>
        </w:rPr>
        <w:t>Inert</w:t>
      </w:r>
      <w:proofErr w:type="spellEnd"/>
      <w:r w:rsidRPr="00175DE4">
        <w:rPr>
          <w:rFonts w:ascii="Times New Roman" w:eastAsia="Calibri" w:hAnsi="Times New Roman" w:cs="Times New Roman"/>
        </w:rPr>
        <w:t xml:space="preserve"> </w:t>
      </w:r>
      <w:proofErr w:type="spellStart"/>
      <w:r w:rsidRPr="00175DE4">
        <w:rPr>
          <w:rFonts w:ascii="Times New Roman" w:eastAsia="Calibri" w:hAnsi="Times New Roman" w:cs="Times New Roman"/>
        </w:rPr>
        <w:t>red</w:t>
      </w:r>
      <w:proofErr w:type="spellEnd"/>
      <w:r w:rsidRPr="00175DE4">
        <w:rPr>
          <w:rFonts w:ascii="Times New Roman" w:eastAsia="Calibri" w:hAnsi="Times New Roman" w:cs="Times New Roman"/>
        </w:rPr>
        <w:t xml:space="preserve"> </w:t>
      </w:r>
      <w:proofErr w:type="spellStart"/>
      <w:r w:rsidRPr="00175DE4">
        <w:rPr>
          <w:rFonts w:ascii="Times New Roman" w:eastAsia="Calibri" w:hAnsi="Times New Roman" w:cs="Times New Roman"/>
        </w:rPr>
        <w:t>dye</w:t>
      </w:r>
      <w:proofErr w:type="spellEnd"/>
      <w:r w:rsidRPr="00175DE4">
        <w:rPr>
          <w:rFonts w:ascii="Times New Roman" w:eastAsia="Calibri" w:hAnsi="Times New Roman" w:cs="Times New Roman"/>
        </w:rPr>
        <w:t xml:space="preserve"> ve </w:t>
      </w:r>
      <w:proofErr w:type="spellStart"/>
      <w:r w:rsidRPr="00175DE4">
        <w:rPr>
          <w:rFonts w:ascii="Times New Roman" w:eastAsia="Calibri" w:hAnsi="Times New Roman" w:cs="Times New Roman"/>
        </w:rPr>
        <w:t>stabilizer</w:t>
      </w:r>
      <w:proofErr w:type="spellEnd"/>
      <w:r w:rsidRPr="00175DE4">
        <w:rPr>
          <w:rFonts w:ascii="Times New Roman" w:eastAsia="Calibri" w:hAnsi="Times New Roman" w:cs="Times New Roman"/>
        </w:rPr>
        <w:t xml:space="preserve"> olmalıdır. İçeriği farklı olan ürünler optimize edilmiş çalışmalara uygun olmadığı için değerlendirme dışı bırakılacaktır.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proofErr w:type="spellStart"/>
      <w:r w:rsidRPr="00175DE4">
        <w:rPr>
          <w:rFonts w:ascii="Times New Roman" w:eastAsia="Calibri" w:hAnsi="Times New Roman" w:cs="Times New Roman"/>
        </w:rPr>
        <w:t>Taq</w:t>
      </w:r>
      <w:proofErr w:type="spellEnd"/>
      <w:r w:rsidRPr="00175DE4">
        <w:rPr>
          <w:rFonts w:ascii="Times New Roman" w:eastAsia="Calibri" w:hAnsi="Times New Roman" w:cs="Times New Roman"/>
        </w:rPr>
        <w:t xml:space="preserve"> bileşimi: 5 U/µl </w:t>
      </w:r>
      <w:proofErr w:type="spellStart"/>
      <w:r w:rsidRPr="00175DE4">
        <w:rPr>
          <w:rFonts w:ascii="Times New Roman" w:eastAsia="Calibri" w:hAnsi="Times New Roman" w:cs="Times New Roman"/>
        </w:rPr>
        <w:t>Taq</w:t>
      </w:r>
      <w:proofErr w:type="spellEnd"/>
      <w:r w:rsidRPr="00175DE4">
        <w:rPr>
          <w:rFonts w:ascii="Times New Roman" w:eastAsia="Calibri" w:hAnsi="Times New Roman" w:cs="Times New Roman"/>
        </w:rPr>
        <w:t xml:space="preserve">, 20 </w:t>
      </w:r>
      <w:proofErr w:type="spellStart"/>
      <w:r w:rsidRPr="00175DE4">
        <w:rPr>
          <w:rFonts w:ascii="Times New Roman" w:eastAsia="Calibri" w:hAnsi="Times New Roman" w:cs="Times New Roman"/>
        </w:rPr>
        <w:t>mM</w:t>
      </w:r>
      <w:proofErr w:type="spellEnd"/>
      <w:r w:rsidRPr="00175DE4">
        <w:rPr>
          <w:rFonts w:ascii="Times New Roman" w:eastAsia="Calibri" w:hAnsi="Times New Roman" w:cs="Times New Roman"/>
        </w:rPr>
        <w:t xml:space="preserve"> </w:t>
      </w:r>
      <w:proofErr w:type="spellStart"/>
      <w:r w:rsidRPr="00175DE4">
        <w:rPr>
          <w:rFonts w:ascii="Times New Roman" w:eastAsia="Calibri" w:hAnsi="Times New Roman" w:cs="Times New Roman"/>
        </w:rPr>
        <w:t>Tris-HCl</w:t>
      </w:r>
      <w:proofErr w:type="spellEnd"/>
      <w:r w:rsidRPr="00175DE4">
        <w:rPr>
          <w:rFonts w:ascii="Times New Roman" w:eastAsia="Calibri" w:hAnsi="Times New Roman" w:cs="Times New Roman"/>
        </w:rPr>
        <w:t xml:space="preserve"> </w:t>
      </w:r>
      <w:proofErr w:type="spellStart"/>
      <w:r w:rsidRPr="00175DE4">
        <w:rPr>
          <w:rFonts w:ascii="Times New Roman" w:eastAsia="Calibri" w:hAnsi="Times New Roman" w:cs="Times New Roman"/>
        </w:rPr>
        <w:t>pH</w:t>
      </w:r>
      <w:proofErr w:type="spellEnd"/>
      <w:r w:rsidRPr="00175DE4">
        <w:rPr>
          <w:rFonts w:ascii="Times New Roman" w:eastAsia="Calibri" w:hAnsi="Times New Roman" w:cs="Times New Roman"/>
        </w:rPr>
        <w:t xml:space="preserve"> 8.3, 100 </w:t>
      </w:r>
      <w:proofErr w:type="spellStart"/>
      <w:r w:rsidRPr="00175DE4">
        <w:rPr>
          <w:rFonts w:ascii="Times New Roman" w:eastAsia="Calibri" w:hAnsi="Times New Roman" w:cs="Times New Roman"/>
        </w:rPr>
        <w:t>mM</w:t>
      </w:r>
      <w:proofErr w:type="spellEnd"/>
      <w:r w:rsidRPr="00175DE4">
        <w:rPr>
          <w:rFonts w:ascii="Times New Roman" w:eastAsia="Calibri" w:hAnsi="Times New Roman" w:cs="Times New Roman"/>
        </w:rPr>
        <w:t xml:space="preserve"> </w:t>
      </w:r>
      <w:proofErr w:type="spellStart"/>
      <w:r w:rsidRPr="00175DE4">
        <w:rPr>
          <w:rFonts w:ascii="Times New Roman" w:eastAsia="Calibri" w:hAnsi="Times New Roman" w:cs="Times New Roman"/>
        </w:rPr>
        <w:t>KCl</w:t>
      </w:r>
      <w:proofErr w:type="spellEnd"/>
      <w:r w:rsidRPr="00175DE4">
        <w:rPr>
          <w:rFonts w:ascii="Times New Roman" w:eastAsia="Calibri" w:hAnsi="Times New Roman" w:cs="Times New Roman"/>
        </w:rPr>
        <w:t xml:space="preserve">, 0.1 </w:t>
      </w:r>
      <w:proofErr w:type="spellStart"/>
      <w:r w:rsidRPr="00175DE4">
        <w:rPr>
          <w:rFonts w:ascii="Times New Roman" w:eastAsia="Calibri" w:hAnsi="Times New Roman" w:cs="Times New Roman"/>
        </w:rPr>
        <w:t>mM</w:t>
      </w:r>
      <w:proofErr w:type="spellEnd"/>
      <w:r w:rsidRPr="00175DE4">
        <w:rPr>
          <w:rFonts w:ascii="Times New Roman" w:eastAsia="Calibri" w:hAnsi="Times New Roman" w:cs="Times New Roman"/>
        </w:rPr>
        <w:t xml:space="preserve"> EDTA, 1 </w:t>
      </w:r>
      <w:proofErr w:type="spellStart"/>
      <w:r w:rsidRPr="00175DE4">
        <w:rPr>
          <w:rFonts w:ascii="Times New Roman" w:eastAsia="Calibri" w:hAnsi="Times New Roman" w:cs="Times New Roman"/>
        </w:rPr>
        <w:t>mM</w:t>
      </w:r>
      <w:proofErr w:type="spellEnd"/>
      <w:r w:rsidRPr="00175DE4">
        <w:rPr>
          <w:rFonts w:ascii="Times New Roman" w:eastAsia="Calibri" w:hAnsi="Times New Roman" w:cs="Times New Roman"/>
        </w:rPr>
        <w:t xml:space="preserve"> DTT, 0.5% </w:t>
      </w:r>
      <w:proofErr w:type="spellStart"/>
      <w:r w:rsidRPr="00175DE4">
        <w:rPr>
          <w:rFonts w:ascii="Times New Roman" w:eastAsia="Calibri" w:hAnsi="Times New Roman" w:cs="Times New Roman"/>
        </w:rPr>
        <w:t>Tween</w:t>
      </w:r>
      <w:proofErr w:type="spellEnd"/>
      <w:r w:rsidRPr="00175DE4">
        <w:rPr>
          <w:rFonts w:ascii="Times New Roman" w:eastAsia="Calibri" w:hAnsi="Times New Roman" w:cs="Times New Roman"/>
        </w:rPr>
        <w:t xml:space="preserve"> 20, 50% </w:t>
      </w:r>
      <w:proofErr w:type="spellStart"/>
      <w:r w:rsidRPr="00175DE4">
        <w:rPr>
          <w:rFonts w:ascii="Times New Roman" w:eastAsia="Calibri" w:hAnsi="Times New Roman" w:cs="Times New Roman"/>
        </w:rPr>
        <w:t>glycerol</w:t>
      </w:r>
      <w:proofErr w:type="spellEnd"/>
      <w:r w:rsidRPr="00175DE4">
        <w:rPr>
          <w:rFonts w:ascii="Times New Roman" w:eastAsia="Calibri" w:hAnsi="Times New Roman" w:cs="Times New Roman"/>
        </w:rPr>
        <w:t xml:space="preserve"> olmalıdır. İçeriği farklı olan ürünler optimize edilmiş çalışmalara uygun olmadığı için değerlendirme dışı bırakılacaktır.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>Ürün Avrupa menşeili olmalıdır.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proofErr w:type="spellStart"/>
      <w:r w:rsidRPr="00175DE4">
        <w:rPr>
          <w:rFonts w:ascii="Times New Roman" w:eastAsia="Calibri" w:hAnsi="Times New Roman" w:cs="Times New Roman"/>
        </w:rPr>
        <w:t>Agaroz</w:t>
      </w:r>
      <w:proofErr w:type="spellEnd"/>
      <w:r w:rsidRPr="00175DE4">
        <w:rPr>
          <w:rFonts w:ascii="Times New Roman" w:eastAsia="Calibri" w:hAnsi="Times New Roman" w:cs="Times New Roman"/>
        </w:rPr>
        <w:t xml:space="preserve"> üzerine doğrudan yüklenebilmeli ve yüklemenin takip edilebilmesi için kırmız boya içermelidir.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 xml:space="preserve">5kb’ye kadar </w:t>
      </w:r>
      <w:proofErr w:type="spellStart"/>
      <w:r w:rsidRPr="00175DE4">
        <w:rPr>
          <w:rFonts w:ascii="Times New Roman" w:eastAsia="Calibri" w:hAnsi="Times New Roman" w:cs="Times New Roman"/>
        </w:rPr>
        <w:t>pcr</w:t>
      </w:r>
      <w:proofErr w:type="spellEnd"/>
      <w:r w:rsidRPr="00175DE4">
        <w:rPr>
          <w:rFonts w:ascii="Times New Roman" w:eastAsia="Calibri" w:hAnsi="Times New Roman" w:cs="Times New Roman"/>
        </w:rPr>
        <w:t xml:space="preserve"> ürünü elde edilmesine olanak vermelidir.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 xml:space="preserve">PCR ürünleri, </w:t>
      </w:r>
      <w:proofErr w:type="spellStart"/>
      <w:r w:rsidRPr="00175DE4">
        <w:rPr>
          <w:rFonts w:ascii="Times New Roman" w:eastAsia="Calibri" w:hAnsi="Times New Roman" w:cs="Times New Roman"/>
        </w:rPr>
        <w:t>spin</w:t>
      </w:r>
      <w:proofErr w:type="spellEnd"/>
      <w:r w:rsidRPr="00175DE4">
        <w:rPr>
          <w:rFonts w:ascii="Times New Roman" w:eastAsia="Calibri" w:hAnsi="Times New Roman" w:cs="Times New Roman"/>
        </w:rPr>
        <w:t xml:space="preserve"> kolon veya </w:t>
      </w:r>
      <w:proofErr w:type="spellStart"/>
      <w:r w:rsidRPr="00175DE4">
        <w:rPr>
          <w:rFonts w:ascii="Times New Roman" w:eastAsia="Calibri" w:hAnsi="Times New Roman" w:cs="Times New Roman"/>
        </w:rPr>
        <w:t>PureIT</w:t>
      </w:r>
      <w:proofErr w:type="spellEnd"/>
      <w:r w:rsidRPr="00175DE4">
        <w:rPr>
          <w:rFonts w:ascii="Times New Roman" w:eastAsia="Calibri" w:hAnsi="Times New Roman" w:cs="Times New Roman"/>
        </w:rPr>
        <w:t xml:space="preserve"> </w:t>
      </w:r>
      <w:proofErr w:type="spellStart"/>
      <w:r w:rsidRPr="00175DE4">
        <w:rPr>
          <w:rFonts w:ascii="Times New Roman" w:eastAsia="Calibri" w:hAnsi="Times New Roman" w:cs="Times New Roman"/>
        </w:rPr>
        <w:t>ExoZAP</w:t>
      </w:r>
      <w:proofErr w:type="spellEnd"/>
      <w:r w:rsidRPr="00175DE4">
        <w:rPr>
          <w:rFonts w:ascii="Times New Roman" w:eastAsia="Calibri" w:hAnsi="Times New Roman" w:cs="Times New Roman"/>
        </w:rPr>
        <w:t xml:space="preserve"> PCR </w:t>
      </w:r>
      <w:proofErr w:type="spellStart"/>
      <w:r w:rsidRPr="00175DE4">
        <w:rPr>
          <w:rFonts w:ascii="Times New Roman" w:eastAsia="Calibri" w:hAnsi="Times New Roman" w:cs="Times New Roman"/>
        </w:rPr>
        <w:t>CleanUp</w:t>
      </w:r>
      <w:proofErr w:type="spellEnd"/>
      <w:r w:rsidRPr="00175DE4">
        <w:rPr>
          <w:rFonts w:ascii="Times New Roman" w:eastAsia="Calibri" w:hAnsi="Times New Roman" w:cs="Times New Roman"/>
        </w:rPr>
        <w:t xml:space="preserve"> ile işleme tabi tutulduktan sonra </w:t>
      </w:r>
      <w:proofErr w:type="spellStart"/>
      <w:r w:rsidRPr="00175DE4">
        <w:rPr>
          <w:rFonts w:ascii="Times New Roman" w:eastAsia="Calibri" w:hAnsi="Times New Roman" w:cs="Times New Roman"/>
        </w:rPr>
        <w:t>sekanslama</w:t>
      </w:r>
      <w:proofErr w:type="spellEnd"/>
      <w:r w:rsidRPr="00175DE4">
        <w:rPr>
          <w:rFonts w:ascii="Times New Roman" w:eastAsia="Calibri" w:hAnsi="Times New Roman" w:cs="Times New Roman"/>
        </w:rPr>
        <w:t xml:space="preserve"> için doğrudan kullanılabilir.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 xml:space="preserve"> Ürün laboratuvarda denenmiş ve onay verilmiş olmalıdır. Denenmemiş ürünler için mutlaka alım son gününden önce numune teslim edilmelidir.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 xml:space="preserve">Yetkili temsilcilik belgesi teklif ile birlikte sunulmalıdır. Teklif veren firma </w:t>
      </w:r>
      <w:proofErr w:type="gramStart"/>
      <w:r w:rsidRPr="00175DE4">
        <w:rPr>
          <w:rFonts w:ascii="Times New Roman" w:eastAsia="Calibri" w:hAnsi="Times New Roman" w:cs="Times New Roman"/>
        </w:rPr>
        <w:t>distribütör</w:t>
      </w:r>
      <w:proofErr w:type="gramEnd"/>
      <w:r w:rsidRPr="00175DE4">
        <w:rPr>
          <w:rFonts w:ascii="Times New Roman" w:eastAsia="Calibri" w:hAnsi="Times New Roman" w:cs="Times New Roman"/>
        </w:rPr>
        <w:t xml:space="preserve"> olmalıdır.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>İthalatçı (Distribütör) firmanın ve üretici firmanın ISO9001 belgeleri ihale dosyasında yer almalıdır.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 xml:space="preserve">Distribütörün TC Gümrük ve Ticaret Bakanlığı tarafından verilen TS 12426 </w:t>
      </w:r>
      <w:proofErr w:type="gramStart"/>
      <w:r w:rsidRPr="00175DE4">
        <w:rPr>
          <w:rFonts w:ascii="Times New Roman" w:eastAsia="Calibri" w:hAnsi="Times New Roman" w:cs="Times New Roman"/>
        </w:rPr>
        <w:t>kriteri</w:t>
      </w:r>
      <w:proofErr w:type="gramEnd"/>
      <w:r w:rsidRPr="00175DE4">
        <w:rPr>
          <w:rFonts w:ascii="Times New Roman" w:eastAsia="Calibri" w:hAnsi="Times New Roman" w:cs="Times New Roman"/>
        </w:rPr>
        <w:t xml:space="preserve"> taşıyan Satış Sonrası Servis Hizmet Yeterlilik belgesi ve TSE Hizmet Yeri Yeterlilik belgeli (İzmir’de de bulunmak şartıyla en az 3 ilde) Teknik Servisleri olmalıdır ve bu belgelerin birer kopyası ihale evraklarıyla birlikte verilmelidir.</w:t>
      </w:r>
    </w:p>
    <w:p w:rsidR="00175DE4" w:rsidRPr="00175DE4" w:rsidRDefault="00175DE4" w:rsidP="00175DE4">
      <w:pPr>
        <w:numPr>
          <w:ilvl w:val="0"/>
          <w:numId w:val="2"/>
        </w:numPr>
        <w:spacing w:after="100" w:afterAutospacing="1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75DE4">
        <w:rPr>
          <w:rFonts w:ascii="Times New Roman" w:eastAsia="Calibri" w:hAnsi="Times New Roman" w:cs="Times New Roman"/>
        </w:rPr>
        <w:t>Teklif veren firmanın en az üç ilde bulunan teknik servisinde çalışan teknik personelin listesi ihale dosyasında yer almalıdır.</w:t>
      </w:r>
    </w:p>
    <w:p w:rsidR="00175DE4" w:rsidRDefault="00175DE4" w:rsidP="00175DE4">
      <w:pPr>
        <w:jc w:val="both"/>
      </w:pPr>
    </w:p>
    <w:sectPr w:rsidR="0017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4ED1"/>
    <w:multiLevelType w:val="multilevel"/>
    <w:tmpl w:val="F4FA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8039D"/>
    <w:multiLevelType w:val="multilevel"/>
    <w:tmpl w:val="6A12A598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E4"/>
    <w:rsid w:val="00175DE4"/>
    <w:rsid w:val="006143BB"/>
    <w:rsid w:val="006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C365"/>
  <w15:chartTrackingRefBased/>
  <w15:docId w15:val="{A8986B58-5B53-4CD4-8904-4E9634CD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D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2025-07-02T08:26:00Z</dcterms:created>
  <dcterms:modified xsi:type="dcterms:W3CDTF">2025-07-02T08:29:00Z</dcterms:modified>
</cp:coreProperties>
</file>